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221" w:rsidRDefault="00CC0221" w:rsidP="00CC0221">
      <w:pPr>
        <w:jc w:val="center"/>
        <w:rPr>
          <w:b/>
        </w:rPr>
      </w:pPr>
      <w:r w:rsidRPr="00CC0221">
        <w:rPr>
          <w:b/>
        </w:rPr>
        <w:t>Príloha č.5</w:t>
      </w:r>
      <w:r w:rsidR="00304675">
        <w:rPr>
          <w:b/>
        </w:rPr>
        <w:t xml:space="preserve"> Zmluvy o dielo</w:t>
      </w:r>
    </w:p>
    <w:p w:rsidR="00304675" w:rsidRDefault="00304675" w:rsidP="00CC0221">
      <w:pPr>
        <w:jc w:val="center"/>
        <w:rPr>
          <w:b/>
        </w:rPr>
      </w:pPr>
    </w:p>
    <w:p w:rsidR="00304675" w:rsidRDefault="00304675" w:rsidP="00CC0221">
      <w:pPr>
        <w:jc w:val="center"/>
        <w:rPr>
          <w:b/>
        </w:rPr>
      </w:pPr>
    </w:p>
    <w:p w:rsidR="00CC0221" w:rsidRDefault="00304675" w:rsidP="00CC0221">
      <w:pPr>
        <w:jc w:val="center"/>
        <w:rPr>
          <w:b/>
        </w:rPr>
      </w:pPr>
      <w:r w:rsidRPr="00C243AF">
        <w:rPr>
          <w:rFonts w:ascii="Calibri" w:eastAsia="Times New Roman" w:hAnsi="Calibri" w:cs="Calibri"/>
          <w:lang w:eastAsia="cs-CZ"/>
        </w:rPr>
        <w:t>Povolené limity na vy</w:t>
      </w:r>
      <w:r>
        <w:rPr>
          <w:rFonts w:ascii="Calibri" w:eastAsia="Times New Roman" w:hAnsi="Calibri" w:cs="Calibri"/>
          <w:lang w:eastAsia="cs-CZ"/>
        </w:rPr>
        <w:t>púšťanie odpadových vôd</w:t>
      </w:r>
      <w:r w:rsidRPr="00C243AF">
        <w:rPr>
          <w:rFonts w:ascii="Calibri" w:eastAsia="Times New Roman" w:hAnsi="Calibri" w:cs="Calibri"/>
          <w:lang w:eastAsia="cs-CZ"/>
        </w:rPr>
        <w:t>, limity na ovzduší</w:t>
      </w:r>
      <w:bookmarkStart w:id="0" w:name="_GoBack"/>
      <w:bookmarkEnd w:id="0"/>
    </w:p>
    <w:p w:rsidR="00CC0221" w:rsidRPr="00CC0221" w:rsidRDefault="00CC0221" w:rsidP="00CC0221">
      <w:pPr>
        <w:jc w:val="center"/>
        <w:rPr>
          <w:b/>
        </w:rPr>
      </w:pPr>
    </w:p>
    <w:p w:rsidR="00CC0221" w:rsidRDefault="00CC0221" w:rsidP="00CC0221"/>
    <w:p w:rsidR="00A333E1" w:rsidRPr="00CC0221" w:rsidRDefault="00CC0221" w:rsidP="00CC0221">
      <w:pPr>
        <w:rPr>
          <w:b/>
        </w:rPr>
      </w:pPr>
      <w:r>
        <w:rPr>
          <w:b/>
        </w:rPr>
        <w:t>Požiadavky na dodávateľa</w:t>
      </w:r>
    </w:p>
    <w:p w:rsidR="00A333E1" w:rsidRDefault="00A333E1" w:rsidP="00A333E1">
      <w:pPr>
        <w:tabs>
          <w:tab w:val="left" w:pos="2124"/>
        </w:tabs>
      </w:pPr>
      <w:r>
        <w:tab/>
      </w:r>
    </w:p>
    <w:p w:rsidR="00A333E1" w:rsidRDefault="00A333E1" w:rsidP="00A333E1">
      <w:r>
        <w:t>- požadované limity ZL vypúšťaných OV  z NS</w:t>
      </w:r>
    </w:p>
    <w:p w:rsidR="00BA0082" w:rsidRDefault="00BA0082" w:rsidP="00A333E1">
      <w:pPr>
        <w:tabs>
          <w:tab w:val="left" w:pos="972"/>
        </w:tabs>
        <w:ind w:firstLine="708"/>
      </w:pPr>
    </w:p>
    <w:p w:rsidR="00A333E1" w:rsidRDefault="00A333E1" w:rsidP="00A333E1">
      <w:pPr>
        <w:tabs>
          <w:tab w:val="left" w:pos="972"/>
        </w:tabs>
      </w:pPr>
    </w:p>
    <w:p w:rsidR="00A333E1" w:rsidRDefault="00A333E1" w:rsidP="00A333E1">
      <w:pPr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    Tab. požiadavky na  výstupné hodnoty znečisťujúcich látok v OV vypúšťaných  z NS </w:t>
      </w:r>
    </w:p>
    <w:p w:rsidR="00A333E1" w:rsidRDefault="00A333E1" w:rsidP="00A333E1">
      <w:pPr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5"/>
        <w:gridCol w:w="2408"/>
        <w:gridCol w:w="2397"/>
      </w:tblGrid>
      <w:tr w:rsidR="00A333E1" w:rsidTr="00A333E1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1" w:rsidRDefault="00A333E1">
            <w:pPr>
              <w:pStyle w:val="Hlavika"/>
              <w:tabs>
                <w:tab w:val="clear" w:pos="4536"/>
                <w:tab w:val="center" w:pos="709"/>
              </w:tabs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Ukazovateľ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1" w:rsidRDefault="00A333E1">
            <w:pPr>
              <w:pStyle w:val="Hlavika"/>
              <w:tabs>
                <w:tab w:val="clear" w:pos="4536"/>
                <w:tab w:val="center" w:pos="709"/>
              </w:tabs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Koncentrácia v mg/l podľa NV 269/2010 Z.z. 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1" w:rsidRDefault="00A333E1">
            <w:pPr>
              <w:pStyle w:val="Hlavika"/>
              <w:tabs>
                <w:tab w:val="clear" w:pos="4536"/>
                <w:tab w:val="center" w:pos="709"/>
              </w:tabs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limity podľa povolenia OU Čadca </w:t>
            </w:r>
          </w:p>
        </w:tc>
      </w:tr>
      <w:tr w:rsidR="00A333E1" w:rsidTr="00A333E1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1" w:rsidRDefault="00A333E1">
            <w:pPr>
              <w:pStyle w:val="Hlavika"/>
              <w:tabs>
                <w:tab w:val="clear" w:pos="4536"/>
                <w:tab w:val="center" w:pos="709"/>
              </w:tabs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1" w:rsidRDefault="00A333E1">
            <w:pPr>
              <w:pStyle w:val="Hlavika"/>
              <w:tabs>
                <w:tab w:val="clear" w:pos="4536"/>
                <w:tab w:val="center" w:pos="709"/>
              </w:tabs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1" w:rsidRDefault="00A333E1">
            <w:pPr>
              <w:pStyle w:val="Hlavika"/>
              <w:tabs>
                <w:tab w:val="clear" w:pos="4536"/>
                <w:tab w:val="center" w:pos="709"/>
              </w:tabs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3</w:t>
            </w:r>
          </w:p>
        </w:tc>
      </w:tr>
      <w:tr w:rsidR="00A333E1" w:rsidTr="00A333E1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1" w:rsidRDefault="00A333E1">
            <w:pPr>
              <w:pStyle w:val="Hlavika"/>
              <w:tabs>
                <w:tab w:val="clear" w:pos="4536"/>
                <w:tab w:val="center" w:pos="709"/>
              </w:tabs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pH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1" w:rsidRDefault="00A333E1">
            <w:pPr>
              <w:pStyle w:val="Hlavika"/>
              <w:tabs>
                <w:tab w:val="clear" w:pos="4536"/>
                <w:tab w:val="center" w:pos="709"/>
              </w:tabs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6,0- 9,0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1" w:rsidRDefault="00A333E1">
            <w:pPr>
              <w:pStyle w:val="Hlavika"/>
              <w:tabs>
                <w:tab w:val="clear" w:pos="4536"/>
                <w:tab w:val="center" w:pos="709"/>
              </w:tabs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6-9</w:t>
            </w:r>
          </w:p>
        </w:tc>
      </w:tr>
      <w:tr w:rsidR="00A333E1" w:rsidTr="00A333E1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1" w:rsidRDefault="00A333E1">
            <w:pPr>
              <w:pStyle w:val="Hlavika"/>
              <w:tabs>
                <w:tab w:val="clear" w:pos="4536"/>
                <w:tab w:val="center" w:pos="709"/>
              </w:tabs>
              <w:jc w:val="both"/>
              <w:rPr>
                <w:rFonts w:ascii="Tahoma" w:hAnsi="Tahoma" w:cs="Tahoma"/>
                <w:szCs w:val="22"/>
                <w:vertAlign w:val="subscript"/>
              </w:rPr>
            </w:pPr>
            <w:r>
              <w:rPr>
                <w:rFonts w:ascii="Tahoma" w:hAnsi="Tahoma" w:cs="Tahoma"/>
                <w:szCs w:val="22"/>
              </w:rPr>
              <w:t>CHSK</w:t>
            </w:r>
            <w:r>
              <w:rPr>
                <w:rFonts w:ascii="Tahoma" w:hAnsi="Tahoma" w:cs="Tahoma"/>
                <w:szCs w:val="22"/>
                <w:vertAlign w:val="subscript"/>
              </w:rPr>
              <w:t>Cr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1" w:rsidRDefault="00A333E1">
            <w:pPr>
              <w:pStyle w:val="Hlavika"/>
              <w:tabs>
                <w:tab w:val="clear" w:pos="4536"/>
                <w:tab w:val="center" w:pos="709"/>
              </w:tabs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300,0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1" w:rsidRDefault="00A333E1">
            <w:pPr>
              <w:pStyle w:val="Hlavika"/>
              <w:tabs>
                <w:tab w:val="clear" w:pos="4536"/>
                <w:tab w:val="center" w:pos="709"/>
              </w:tabs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300</w:t>
            </w:r>
          </w:p>
        </w:tc>
      </w:tr>
      <w:tr w:rsidR="00A333E1" w:rsidTr="00A333E1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1" w:rsidRDefault="00A333E1">
            <w:pPr>
              <w:pStyle w:val="Hlavika"/>
              <w:tabs>
                <w:tab w:val="clear" w:pos="4536"/>
                <w:tab w:val="center" w:pos="709"/>
              </w:tabs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NL</w:t>
            </w:r>
            <w:r>
              <w:rPr>
                <w:rFonts w:ascii="Tahoma" w:hAnsi="Tahoma" w:cs="Tahoma"/>
                <w:szCs w:val="22"/>
                <w:vertAlign w:val="subscript"/>
              </w:rPr>
              <w:t>105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1" w:rsidRDefault="00A333E1">
            <w:pPr>
              <w:pStyle w:val="Hlavika"/>
              <w:tabs>
                <w:tab w:val="clear" w:pos="4536"/>
                <w:tab w:val="center" w:pos="709"/>
              </w:tabs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30,0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1" w:rsidRDefault="00A333E1">
            <w:pPr>
              <w:pStyle w:val="Hlavika"/>
              <w:tabs>
                <w:tab w:val="clear" w:pos="4536"/>
                <w:tab w:val="center" w:pos="709"/>
              </w:tabs>
              <w:jc w:val="center"/>
              <w:rPr>
                <w:rFonts w:ascii="Tahoma" w:hAnsi="Tahoma" w:cs="Tahoma"/>
                <w:b/>
                <w:i/>
                <w:color w:val="FF0000"/>
                <w:szCs w:val="22"/>
              </w:rPr>
            </w:pPr>
            <w:r>
              <w:rPr>
                <w:rFonts w:ascii="Tahoma" w:hAnsi="Tahoma" w:cs="Tahoma"/>
                <w:b/>
                <w:i/>
                <w:color w:val="FF0000"/>
                <w:szCs w:val="22"/>
              </w:rPr>
              <w:t>25,0</w:t>
            </w:r>
          </w:p>
        </w:tc>
      </w:tr>
      <w:tr w:rsidR="00A333E1" w:rsidTr="00A333E1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1" w:rsidRDefault="00A333E1">
            <w:pPr>
              <w:pStyle w:val="Hlavika"/>
              <w:tabs>
                <w:tab w:val="clear" w:pos="4536"/>
                <w:tab w:val="center" w:pos="709"/>
              </w:tabs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NEL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1" w:rsidRDefault="00A333E1">
            <w:pPr>
              <w:pStyle w:val="Hlavika"/>
              <w:tabs>
                <w:tab w:val="clear" w:pos="4536"/>
                <w:tab w:val="center" w:pos="709"/>
              </w:tabs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3,0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1" w:rsidRDefault="00A333E1">
            <w:pPr>
              <w:pStyle w:val="Hlavika"/>
              <w:tabs>
                <w:tab w:val="clear" w:pos="4536"/>
                <w:tab w:val="center" w:pos="709"/>
              </w:tabs>
              <w:jc w:val="center"/>
              <w:rPr>
                <w:rFonts w:ascii="Tahoma" w:hAnsi="Tahoma" w:cs="Tahoma"/>
                <w:b/>
                <w:i/>
                <w:color w:val="FF0000"/>
                <w:szCs w:val="22"/>
              </w:rPr>
            </w:pPr>
            <w:r>
              <w:rPr>
                <w:rFonts w:ascii="Tahoma" w:hAnsi="Tahoma" w:cs="Tahoma"/>
                <w:b/>
                <w:i/>
                <w:color w:val="FF0000"/>
                <w:szCs w:val="22"/>
              </w:rPr>
              <w:t>2,0</w:t>
            </w:r>
          </w:p>
        </w:tc>
      </w:tr>
      <w:tr w:rsidR="00A333E1" w:rsidTr="00A333E1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1" w:rsidRDefault="00A333E1">
            <w:pPr>
              <w:pStyle w:val="Hlavika"/>
              <w:tabs>
                <w:tab w:val="clear" w:pos="4536"/>
                <w:tab w:val="center" w:pos="709"/>
              </w:tabs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Fluoridy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1" w:rsidRDefault="00A333E1">
            <w:pPr>
              <w:pStyle w:val="Hlavika"/>
              <w:tabs>
                <w:tab w:val="clear" w:pos="4536"/>
                <w:tab w:val="center" w:pos="709"/>
              </w:tabs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10,0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1" w:rsidRDefault="00A333E1">
            <w:pPr>
              <w:pStyle w:val="Hlavika"/>
              <w:tabs>
                <w:tab w:val="clear" w:pos="4536"/>
                <w:tab w:val="center" w:pos="709"/>
              </w:tabs>
              <w:jc w:val="center"/>
              <w:rPr>
                <w:rFonts w:ascii="Tahoma" w:hAnsi="Tahoma" w:cs="Tahoma"/>
                <w:b/>
                <w:i/>
                <w:color w:val="FF0000"/>
                <w:szCs w:val="22"/>
              </w:rPr>
            </w:pPr>
            <w:r>
              <w:rPr>
                <w:rFonts w:ascii="Tahoma" w:hAnsi="Tahoma" w:cs="Tahoma"/>
                <w:b/>
                <w:i/>
                <w:color w:val="FF0000"/>
                <w:szCs w:val="22"/>
              </w:rPr>
              <w:t>5,0</w:t>
            </w:r>
          </w:p>
        </w:tc>
      </w:tr>
      <w:tr w:rsidR="00A333E1" w:rsidTr="00A333E1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1" w:rsidRDefault="00A333E1">
            <w:pPr>
              <w:pStyle w:val="Hlavika"/>
              <w:tabs>
                <w:tab w:val="clear" w:pos="4536"/>
                <w:tab w:val="center" w:pos="709"/>
              </w:tabs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Zinok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1" w:rsidRDefault="00A333E1">
            <w:pPr>
              <w:pStyle w:val="Hlavika"/>
              <w:tabs>
                <w:tab w:val="clear" w:pos="4536"/>
                <w:tab w:val="center" w:pos="709"/>
              </w:tabs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2,0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1" w:rsidRDefault="00A333E1">
            <w:pPr>
              <w:pStyle w:val="Hlavika"/>
              <w:tabs>
                <w:tab w:val="clear" w:pos="4536"/>
                <w:tab w:val="center" w:pos="709"/>
              </w:tabs>
              <w:jc w:val="center"/>
              <w:rPr>
                <w:rFonts w:ascii="Tahoma" w:hAnsi="Tahoma" w:cs="Tahoma"/>
                <w:b/>
                <w:i/>
                <w:color w:val="FF0000"/>
                <w:szCs w:val="22"/>
              </w:rPr>
            </w:pPr>
            <w:r>
              <w:rPr>
                <w:rFonts w:ascii="Tahoma" w:hAnsi="Tahoma" w:cs="Tahoma"/>
                <w:b/>
                <w:i/>
                <w:color w:val="FF0000"/>
                <w:szCs w:val="22"/>
              </w:rPr>
              <w:t>1,0</w:t>
            </w:r>
          </w:p>
        </w:tc>
      </w:tr>
      <w:tr w:rsidR="00A333E1" w:rsidTr="00A333E1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1" w:rsidRDefault="00A333E1">
            <w:pPr>
              <w:pStyle w:val="Hlavika"/>
              <w:tabs>
                <w:tab w:val="clear" w:pos="4536"/>
                <w:tab w:val="center" w:pos="709"/>
              </w:tabs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Železo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1" w:rsidRDefault="00A333E1">
            <w:pPr>
              <w:pStyle w:val="Hlavika"/>
              <w:tabs>
                <w:tab w:val="clear" w:pos="4536"/>
                <w:tab w:val="center" w:pos="709"/>
              </w:tabs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3,0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1" w:rsidRDefault="00A333E1">
            <w:pPr>
              <w:pStyle w:val="Hlavika"/>
              <w:tabs>
                <w:tab w:val="clear" w:pos="4536"/>
                <w:tab w:val="center" w:pos="709"/>
              </w:tabs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3,0</w:t>
            </w:r>
          </w:p>
        </w:tc>
      </w:tr>
      <w:tr w:rsidR="00A333E1" w:rsidTr="00A333E1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1" w:rsidRDefault="00A333E1">
            <w:pPr>
              <w:pStyle w:val="Hlavika"/>
              <w:tabs>
                <w:tab w:val="clear" w:pos="4536"/>
                <w:tab w:val="center" w:pos="709"/>
              </w:tabs>
              <w:jc w:val="both"/>
              <w:rPr>
                <w:rFonts w:ascii="Tahoma" w:hAnsi="Tahoma" w:cs="Tahoma"/>
                <w:szCs w:val="22"/>
                <w:vertAlign w:val="subscript"/>
              </w:rPr>
            </w:pPr>
            <w:r>
              <w:rPr>
                <w:rFonts w:ascii="Tahoma" w:hAnsi="Tahoma" w:cs="Tahoma"/>
                <w:szCs w:val="22"/>
              </w:rPr>
              <w:t>Fosfor P</w:t>
            </w:r>
            <w:r>
              <w:rPr>
                <w:rFonts w:ascii="Tahoma" w:hAnsi="Tahoma" w:cs="Tahoma"/>
                <w:szCs w:val="22"/>
                <w:vertAlign w:val="subscript"/>
              </w:rPr>
              <w:t>celk.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1" w:rsidRDefault="00A333E1">
            <w:pPr>
              <w:pStyle w:val="Hlavika"/>
              <w:tabs>
                <w:tab w:val="clear" w:pos="4536"/>
                <w:tab w:val="center" w:pos="709"/>
              </w:tabs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2,5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1" w:rsidRDefault="00A333E1">
            <w:pPr>
              <w:pStyle w:val="Hlavika"/>
              <w:tabs>
                <w:tab w:val="clear" w:pos="4536"/>
                <w:tab w:val="center" w:pos="709"/>
              </w:tabs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2,5</w:t>
            </w:r>
          </w:p>
        </w:tc>
      </w:tr>
      <w:tr w:rsidR="00A333E1" w:rsidTr="00A333E1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1" w:rsidRDefault="00A333E1">
            <w:pPr>
              <w:pStyle w:val="Hlavika"/>
              <w:tabs>
                <w:tab w:val="clear" w:pos="4536"/>
                <w:tab w:val="center" w:pos="709"/>
              </w:tabs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Nikel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1" w:rsidRDefault="00A333E1">
            <w:pPr>
              <w:pStyle w:val="Hlavika"/>
              <w:tabs>
                <w:tab w:val="clear" w:pos="4536"/>
                <w:tab w:val="center" w:pos="709"/>
              </w:tabs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0,5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1" w:rsidRDefault="00A333E1">
            <w:pPr>
              <w:pStyle w:val="Hlavika"/>
              <w:tabs>
                <w:tab w:val="clear" w:pos="4536"/>
                <w:tab w:val="center" w:pos="709"/>
              </w:tabs>
              <w:jc w:val="center"/>
              <w:rPr>
                <w:rFonts w:ascii="Tahoma" w:hAnsi="Tahoma" w:cs="Tahoma"/>
                <w:b/>
                <w:i/>
                <w:color w:val="FF0000"/>
                <w:szCs w:val="22"/>
              </w:rPr>
            </w:pPr>
            <w:r>
              <w:rPr>
                <w:rFonts w:ascii="Tahoma" w:hAnsi="Tahoma" w:cs="Tahoma"/>
                <w:b/>
                <w:i/>
                <w:color w:val="FF0000"/>
                <w:szCs w:val="22"/>
              </w:rPr>
              <w:t>0,1</w:t>
            </w:r>
          </w:p>
        </w:tc>
      </w:tr>
      <w:tr w:rsidR="00A333E1" w:rsidTr="00A333E1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1" w:rsidRDefault="00A333E1">
            <w:pPr>
              <w:pStyle w:val="Hlavika"/>
              <w:tabs>
                <w:tab w:val="clear" w:pos="4536"/>
                <w:tab w:val="center" w:pos="709"/>
              </w:tabs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rozpustené látky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1" w:rsidRDefault="00A333E1">
            <w:pPr>
              <w:pStyle w:val="Hlavika"/>
              <w:tabs>
                <w:tab w:val="clear" w:pos="4536"/>
                <w:tab w:val="center" w:pos="709"/>
              </w:tabs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-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1" w:rsidRDefault="00A333E1">
            <w:pPr>
              <w:pStyle w:val="Hlavika"/>
              <w:tabs>
                <w:tab w:val="clear" w:pos="4536"/>
                <w:tab w:val="center" w:pos="709"/>
              </w:tabs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1740</w:t>
            </w:r>
          </w:p>
        </w:tc>
      </w:tr>
    </w:tbl>
    <w:p w:rsidR="00A333E1" w:rsidRDefault="00A333E1" w:rsidP="00A333E1">
      <w:pPr>
        <w:rPr>
          <w:rFonts w:ascii="Arial" w:eastAsia="Times New Roman" w:hAnsi="Arial"/>
          <w:sz w:val="22"/>
          <w:szCs w:val="22"/>
        </w:rPr>
      </w:pPr>
    </w:p>
    <w:p w:rsidR="00A333E1" w:rsidRDefault="00A333E1" w:rsidP="00A333E1">
      <w:pPr>
        <w:rPr>
          <w:szCs w:val="22"/>
        </w:rPr>
      </w:pPr>
    </w:p>
    <w:p w:rsidR="00A333E1" w:rsidRDefault="00A333E1" w:rsidP="00A333E1">
      <w:pPr>
        <w:rPr>
          <w:szCs w:val="22"/>
        </w:rPr>
      </w:pPr>
      <w:r>
        <w:rPr>
          <w:szCs w:val="22"/>
        </w:rPr>
        <w:t xml:space="preserve">Dodávateľ musí garantovať dodržanie  limitov uvedených v stĺpci 3.  Červeným je zvýraznená zmena  medzi NV 269/2010 a povolením. </w:t>
      </w:r>
    </w:p>
    <w:p w:rsidR="00A333E1" w:rsidRDefault="00A333E1" w:rsidP="00A333E1">
      <w:pPr>
        <w:rPr>
          <w:szCs w:val="22"/>
        </w:rPr>
      </w:pPr>
    </w:p>
    <w:p w:rsidR="00A333E1" w:rsidRDefault="00A333E1" w:rsidP="00A333E1">
      <w:pPr>
        <w:ind w:firstLine="708"/>
        <w:rPr>
          <w:szCs w:val="22"/>
        </w:rPr>
      </w:pPr>
    </w:p>
    <w:p w:rsidR="00A333E1" w:rsidRDefault="00A333E1" w:rsidP="00A333E1">
      <w:pPr>
        <w:ind w:firstLine="708"/>
        <w:rPr>
          <w:szCs w:val="22"/>
        </w:rPr>
      </w:pPr>
    </w:p>
    <w:p w:rsidR="00A333E1" w:rsidRDefault="00A333E1" w:rsidP="00A333E1">
      <w:pPr>
        <w:ind w:firstLine="708"/>
        <w:rPr>
          <w:szCs w:val="22"/>
        </w:rPr>
      </w:pPr>
    </w:p>
    <w:p w:rsidR="00A333E1" w:rsidRDefault="00A333E1" w:rsidP="00A333E1">
      <w:pPr>
        <w:ind w:firstLine="708"/>
        <w:rPr>
          <w:szCs w:val="22"/>
        </w:rPr>
      </w:pPr>
    </w:p>
    <w:p w:rsidR="00A333E1" w:rsidRDefault="00A333E1" w:rsidP="00A333E1">
      <w:pPr>
        <w:ind w:firstLine="708"/>
        <w:rPr>
          <w:szCs w:val="22"/>
        </w:rPr>
      </w:pPr>
    </w:p>
    <w:p w:rsidR="00A333E1" w:rsidRDefault="00A333E1" w:rsidP="00A333E1">
      <w:pPr>
        <w:ind w:firstLine="708"/>
        <w:rPr>
          <w:szCs w:val="22"/>
        </w:rPr>
      </w:pPr>
    </w:p>
    <w:p w:rsidR="00A333E1" w:rsidRDefault="00A333E1" w:rsidP="00A333E1">
      <w:pPr>
        <w:ind w:firstLine="708"/>
        <w:rPr>
          <w:szCs w:val="22"/>
        </w:rPr>
      </w:pPr>
    </w:p>
    <w:p w:rsidR="00A333E1" w:rsidRDefault="00A333E1" w:rsidP="00A333E1">
      <w:pPr>
        <w:ind w:firstLine="708"/>
        <w:rPr>
          <w:szCs w:val="22"/>
        </w:rPr>
      </w:pPr>
    </w:p>
    <w:p w:rsidR="00A333E1" w:rsidRDefault="00A333E1" w:rsidP="00A333E1">
      <w:pPr>
        <w:ind w:firstLine="708"/>
        <w:rPr>
          <w:szCs w:val="22"/>
        </w:rPr>
      </w:pPr>
    </w:p>
    <w:p w:rsidR="00A333E1" w:rsidRDefault="00A333E1" w:rsidP="00A333E1">
      <w:pPr>
        <w:ind w:firstLine="708"/>
        <w:rPr>
          <w:szCs w:val="22"/>
        </w:rPr>
      </w:pPr>
    </w:p>
    <w:p w:rsidR="00A333E1" w:rsidRDefault="00A333E1" w:rsidP="00A333E1">
      <w:pPr>
        <w:ind w:firstLine="708"/>
        <w:rPr>
          <w:szCs w:val="22"/>
        </w:rPr>
      </w:pPr>
    </w:p>
    <w:p w:rsidR="00A333E1" w:rsidRDefault="00A333E1" w:rsidP="00A333E1">
      <w:pPr>
        <w:ind w:firstLine="708"/>
        <w:rPr>
          <w:szCs w:val="22"/>
        </w:rPr>
      </w:pPr>
    </w:p>
    <w:p w:rsidR="00A333E1" w:rsidRDefault="00A333E1" w:rsidP="00A333E1">
      <w:pPr>
        <w:ind w:firstLine="708"/>
        <w:rPr>
          <w:szCs w:val="22"/>
        </w:rPr>
      </w:pPr>
    </w:p>
    <w:p w:rsidR="00A333E1" w:rsidRDefault="00A333E1" w:rsidP="00A333E1">
      <w:pPr>
        <w:ind w:firstLine="708"/>
        <w:rPr>
          <w:szCs w:val="22"/>
        </w:rPr>
      </w:pPr>
    </w:p>
    <w:p w:rsidR="00A333E1" w:rsidRDefault="00A333E1" w:rsidP="00A333E1">
      <w:pPr>
        <w:ind w:firstLine="708"/>
        <w:rPr>
          <w:szCs w:val="22"/>
        </w:rPr>
      </w:pPr>
    </w:p>
    <w:p w:rsidR="00A333E1" w:rsidRDefault="00A333E1" w:rsidP="00A333E1">
      <w:pPr>
        <w:ind w:firstLine="708"/>
        <w:rPr>
          <w:szCs w:val="22"/>
        </w:rPr>
      </w:pPr>
    </w:p>
    <w:p w:rsidR="00A333E1" w:rsidRDefault="00A333E1" w:rsidP="00A333E1">
      <w:pPr>
        <w:ind w:firstLine="708"/>
        <w:rPr>
          <w:szCs w:val="22"/>
        </w:rPr>
      </w:pPr>
    </w:p>
    <w:p w:rsidR="00A333E1" w:rsidRDefault="00A333E1" w:rsidP="00A333E1">
      <w:pPr>
        <w:ind w:firstLine="708"/>
        <w:rPr>
          <w:szCs w:val="22"/>
        </w:rPr>
      </w:pPr>
    </w:p>
    <w:p w:rsidR="00A333E1" w:rsidRDefault="00A333E1" w:rsidP="00A333E1">
      <w:pPr>
        <w:ind w:firstLine="708"/>
        <w:rPr>
          <w:szCs w:val="22"/>
        </w:rPr>
      </w:pPr>
    </w:p>
    <w:p w:rsidR="00A333E1" w:rsidRDefault="00A333E1" w:rsidP="00A333E1">
      <w:pPr>
        <w:ind w:firstLine="708"/>
        <w:rPr>
          <w:szCs w:val="22"/>
        </w:rPr>
      </w:pPr>
    </w:p>
    <w:p w:rsidR="00A333E1" w:rsidRDefault="00A333E1" w:rsidP="00A333E1">
      <w:pPr>
        <w:ind w:firstLine="708"/>
        <w:rPr>
          <w:szCs w:val="22"/>
        </w:rPr>
      </w:pPr>
    </w:p>
    <w:p w:rsidR="00A333E1" w:rsidRDefault="00CC0221" w:rsidP="00CC0221">
      <w:pPr>
        <w:tabs>
          <w:tab w:val="left" w:pos="2652"/>
        </w:tabs>
        <w:ind w:firstLine="708"/>
        <w:rPr>
          <w:szCs w:val="22"/>
        </w:rPr>
      </w:pPr>
      <w:r>
        <w:rPr>
          <w:szCs w:val="22"/>
        </w:rPr>
        <w:tab/>
      </w:r>
    </w:p>
    <w:p w:rsidR="00A333E1" w:rsidRDefault="00A333E1" w:rsidP="00CC0221">
      <w:pPr>
        <w:pStyle w:val="Odsekzoznamu"/>
        <w:numPr>
          <w:ilvl w:val="0"/>
          <w:numId w:val="3"/>
        </w:numPr>
        <w:tabs>
          <w:tab w:val="left" w:pos="648"/>
          <w:tab w:val="left" w:pos="1020"/>
        </w:tabs>
      </w:pPr>
      <w:r>
        <w:t xml:space="preserve">požadované  limity ZL vypúšťaných do ovzdušia </w:t>
      </w:r>
    </w:p>
    <w:p w:rsidR="00A333E1" w:rsidRDefault="00A333E1" w:rsidP="00A333E1">
      <w:pPr>
        <w:rPr>
          <w:szCs w:val="22"/>
        </w:rPr>
      </w:pPr>
    </w:p>
    <w:p w:rsidR="00A333E1" w:rsidRDefault="00A333E1" w:rsidP="00A333E1">
      <w:pPr>
        <w:rPr>
          <w:szCs w:val="22"/>
        </w:rPr>
      </w:pPr>
    </w:p>
    <w:p w:rsidR="00A333E1" w:rsidRDefault="00A333E1" w:rsidP="00A333E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Emisné limity podľa </w:t>
      </w:r>
      <w:r w:rsidRPr="001136A0">
        <w:rPr>
          <w:rFonts w:ascii="Arial" w:hAnsi="Arial" w:cs="Arial"/>
          <w:sz w:val="22"/>
        </w:rPr>
        <w:t>BREF, vyhlášky č. 410/2012 Z.z. v</w:t>
      </w:r>
      <w:r>
        <w:rPr>
          <w:rFonts w:ascii="Arial" w:hAnsi="Arial" w:cs="Arial"/>
          <w:sz w:val="22"/>
        </w:rPr>
        <w:t xml:space="preserve"> znení neskorších predpisov a navrhované pre novú výrobnú halu spoločnosti Galmm v Čadci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1794"/>
        <w:gridCol w:w="2126"/>
        <w:gridCol w:w="1276"/>
        <w:gridCol w:w="1417"/>
        <w:gridCol w:w="1843"/>
      </w:tblGrid>
      <w:tr w:rsidR="00A333E1" w:rsidTr="00083C3B">
        <w:trPr>
          <w:cantSplit/>
        </w:trPr>
        <w:tc>
          <w:tcPr>
            <w:tcW w:w="970" w:type="dxa"/>
            <w:vMerge w:val="restart"/>
            <w:tcBorders>
              <w:right w:val="double" w:sz="4" w:space="0" w:color="auto"/>
            </w:tcBorders>
            <w:vAlign w:val="center"/>
          </w:tcPr>
          <w:p w:rsidR="00A333E1" w:rsidRDefault="00A333E1" w:rsidP="00083C3B">
            <w:pPr>
              <w:spacing w:before="4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Zneč. látka</w:t>
            </w:r>
          </w:p>
        </w:tc>
        <w:tc>
          <w:tcPr>
            <w:tcW w:w="392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A333E1" w:rsidRDefault="00A333E1" w:rsidP="00083C3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BREF tab. 5.4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A333E1" w:rsidRDefault="00A333E1" w:rsidP="00083C3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Návrh EL</w:t>
            </w:r>
          </w:p>
        </w:tc>
        <w:tc>
          <w:tcPr>
            <w:tcW w:w="3260" w:type="dxa"/>
            <w:gridSpan w:val="2"/>
            <w:tcBorders>
              <w:left w:val="double" w:sz="4" w:space="0" w:color="auto"/>
            </w:tcBorders>
          </w:tcPr>
          <w:p w:rsidR="00A333E1" w:rsidRPr="006E3E21" w:rsidRDefault="00A333E1" w:rsidP="00083C3B">
            <w:pPr>
              <w:spacing w:before="40"/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6E3E21">
              <w:rPr>
                <w:rFonts w:ascii="Arial" w:hAnsi="Arial" w:cs="Arial"/>
                <w:b/>
                <w:bCs/>
                <w:color w:val="FF0000"/>
                <w:sz w:val="18"/>
              </w:rPr>
              <w:t>príloha č. 3 vyhl. č. 410/2012</w:t>
            </w:r>
          </w:p>
        </w:tc>
      </w:tr>
      <w:tr w:rsidR="00A333E1" w:rsidTr="00083C3B">
        <w:trPr>
          <w:cantSplit/>
        </w:trPr>
        <w:tc>
          <w:tcPr>
            <w:tcW w:w="97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A333E1" w:rsidRDefault="00A333E1" w:rsidP="00083C3B">
            <w:pPr>
              <w:spacing w:before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92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3E1" w:rsidRDefault="00A333E1" w:rsidP="00083C3B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mg.Nm</w:t>
            </w:r>
            <w:r>
              <w:rPr>
                <w:rFonts w:ascii="Arial" w:hAnsi="Arial" w:cs="Arial"/>
                <w:sz w:val="18"/>
                <w:vertAlign w:val="superscript"/>
              </w:rPr>
              <w:t>-3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3E1" w:rsidRDefault="00A333E1" w:rsidP="00083C3B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mg.Nm</w:t>
            </w:r>
            <w:r>
              <w:rPr>
                <w:rFonts w:ascii="Arial" w:hAnsi="Arial" w:cs="Arial"/>
                <w:sz w:val="18"/>
                <w:vertAlign w:val="superscript"/>
              </w:rPr>
              <w:t>-3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</w:tcBorders>
          </w:tcPr>
          <w:p w:rsidR="00A333E1" w:rsidRPr="006E3E21" w:rsidRDefault="00A333E1" w:rsidP="00083C3B">
            <w:pPr>
              <w:spacing w:before="40"/>
              <w:jc w:val="center"/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t xml:space="preserve">EL </w:t>
            </w:r>
            <w:r w:rsidRPr="006E3E21">
              <w:rPr>
                <w:rFonts w:ascii="Arial" w:hAnsi="Arial" w:cs="Arial"/>
                <w:color w:val="FF0000"/>
                <w:sz w:val="18"/>
              </w:rPr>
              <w:t>mg.Nm</w:t>
            </w:r>
            <w:r w:rsidRPr="006E3E21">
              <w:rPr>
                <w:rFonts w:ascii="Arial" w:hAnsi="Arial" w:cs="Arial"/>
                <w:color w:val="FF0000"/>
                <w:sz w:val="18"/>
                <w:vertAlign w:val="superscript"/>
              </w:rPr>
              <w:t>-3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A333E1" w:rsidRPr="006E3E21" w:rsidRDefault="00A333E1" w:rsidP="00083C3B">
            <w:pPr>
              <w:spacing w:before="40"/>
              <w:jc w:val="both"/>
              <w:rPr>
                <w:rFonts w:ascii="Arial" w:hAnsi="Arial" w:cs="Arial"/>
                <w:color w:val="FF0000"/>
                <w:sz w:val="18"/>
              </w:rPr>
            </w:pPr>
            <w:r w:rsidRPr="006E3E21">
              <w:rPr>
                <w:rFonts w:ascii="Arial" w:hAnsi="Arial" w:cs="Arial"/>
                <w:color w:val="FF0000"/>
                <w:sz w:val="18"/>
              </w:rPr>
              <w:t>Pri hmot. toku (HT)</w:t>
            </w:r>
          </w:p>
        </w:tc>
      </w:tr>
      <w:tr w:rsidR="00A333E1" w:rsidTr="00083C3B">
        <w:trPr>
          <w:cantSplit/>
        </w:trPr>
        <w:tc>
          <w:tcPr>
            <w:tcW w:w="970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A333E1" w:rsidRDefault="00A333E1" w:rsidP="00083C3B">
            <w:pPr>
              <w:spacing w:before="40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TZL</w:t>
            </w:r>
          </w:p>
        </w:tc>
        <w:tc>
          <w:tcPr>
            <w:tcW w:w="39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33E1" w:rsidRDefault="00A333E1" w:rsidP="00083C3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&lt; 5 – 30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33E1" w:rsidRDefault="00A333E1" w:rsidP="00083C3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30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</w:tcPr>
          <w:p w:rsidR="00A333E1" w:rsidRPr="006E3E21" w:rsidRDefault="00A333E1" w:rsidP="00083C3B">
            <w:pPr>
              <w:spacing w:before="40"/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6E3E21">
              <w:rPr>
                <w:rFonts w:ascii="Arial" w:hAnsi="Arial" w:cs="Arial"/>
                <w:b/>
                <w:bCs/>
                <w:color w:val="FF0000"/>
                <w:sz w:val="18"/>
              </w:rPr>
              <w:t>150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A333E1" w:rsidRPr="006E3E21" w:rsidRDefault="00A333E1" w:rsidP="00083C3B">
            <w:pPr>
              <w:spacing w:before="40"/>
              <w:jc w:val="both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6E3E21">
              <w:rPr>
                <w:rFonts w:ascii="Arial" w:hAnsi="Arial" w:cs="Arial"/>
                <w:b/>
                <w:bCs/>
                <w:color w:val="FF0000"/>
                <w:sz w:val="18"/>
              </w:rPr>
              <w:t>&lt; 200 g.h</w:t>
            </w:r>
            <w:r w:rsidRPr="006E3E21">
              <w:rPr>
                <w:rFonts w:ascii="Arial" w:hAnsi="Arial" w:cs="Arial"/>
                <w:b/>
                <w:bCs/>
                <w:color w:val="FF0000"/>
                <w:sz w:val="18"/>
                <w:vertAlign w:val="superscript"/>
              </w:rPr>
              <w:t>-1</w:t>
            </w:r>
          </w:p>
        </w:tc>
      </w:tr>
      <w:tr w:rsidR="00A333E1" w:rsidTr="00083C3B">
        <w:trPr>
          <w:cantSplit/>
        </w:trPr>
        <w:tc>
          <w:tcPr>
            <w:tcW w:w="970" w:type="dxa"/>
            <w:vMerge/>
            <w:tcBorders>
              <w:right w:val="double" w:sz="4" w:space="0" w:color="auto"/>
            </w:tcBorders>
          </w:tcPr>
          <w:p w:rsidR="00A333E1" w:rsidRDefault="00A333E1" w:rsidP="00083C3B">
            <w:pPr>
              <w:spacing w:before="4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92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A333E1" w:rsidRDefault="00A333E1" w:rsidP="00083C3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333E1" w:rsidRDefault="00A333E1" w:rsidP="00083C3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</w:tcPr>
          <w:p w:rsidR="00A333E1" w:rsidRPr="006E3E21" w:rsidRDefault="00A333E1" w:rsidP="00083C3B">
            <w:pPr>
              <w:spacing w:before="40"/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6E3E21">
              <w:rPr>
                <w:rFonts w:ascii="Arial" w:hAnsi="Arial" w:cs="Arial"/>
                <w:b/>
                <w:bCs/>
                <w:color w:val="FF0000"/>
                <w:sz w:val="18"/>
              </w:rPr>
              <w:t>20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A333E1" w:rsidRPr="006E3E21" w:rsidRDefault="00A333E1" w:rsidP="00083C3B">
            <w:pPr>
              <w:spacing w:before="40"/>
              <w:jc w:val="both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6E3E21">
              <w:rPr>
                <w:rFonts w:ascii="Arial" w:hAnsi="Arial" w:cs="Arial"/>
                <w:b/>
                <w:bCs/>
                <w:color w:val="FF0000"/>
                <w:sz w:val="18"/>
              </w:rPr>
              <w:t>≥ 200 g.h</w:t>
            </w:r>
            <w:r w:rsidRPr="006E3E21">
              <w:rPr>
                <w:rFonts w:ascii="Arial" w:hAnsi="Arial" w:cs="Arial"/>
                <w:b/>
                <w:bCs/>
                <w:color w:val="FF0000"/>
                <w:sz w:val="18"/>
                <w:vertAlign w:val="superscript"/>
              </w:rPr>
              <w:t>-1</w:t>
            </w:r>
          </w:p>
        </w:tc>
      </w:tr>
      <w:tr w:rsidR="00A333E1" w:rsidTr="00083C3B">
        <w:trPr>
          <w:cantSplit/>
        </w:trPr>
        <w:tc>
          <w:tcPr>
            <w:tcW w:w="970" w:type="dxa"/>
            <w:tcBorders>
              <w:right w:val="double" w:sz="4" w:space="0" w:color="auto"/>
            </w:tcBorders>
          </w:tcPr>
          <w:p w:rsidR="00A333E1" w:rsidRDefault="00A333E1" w:rsidP="00083C3B">
            <w:pPr>
              <w:spacing w:before="40"/>
              <w:jc w:val="both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Arial" w:hAnsi="Arial" w:cs="Arial"/>
                <w:sz w:val="18"/>
              </w:rPr>
              <w:t>SO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</w:tc>
        <w:tc>
          <w:tcPr>
            <w:tcW w:w="1794" w:type="dxa"/>
            <w:tcBorders>
              <w:left w:val="double" w:sz="4" w:space="0" w:color="auto"/>
              <w:right w:val="single" w:sz="4" w:space="0" w:color="auto"/>
            </w:tcBorders>
          </w:tcPr>
          <w:p w:rsidR="00A333E1" w:rsidRDefault="00A333E1" w:rsidP="00083C3B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– 10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A333E1" w:rsidRDefault="00A333E1" w:rsidP="00083C3B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A333E1" w:rsidRDefault="00A333E1" w:rsidP="00083C3B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A333E1" w:rsidRPr="006E3E21" w:rsidRDefault="00A333E1" w:rsidP="00083C3B">
            <w:pPr>
              <w:spacing w:before="40"/>
              <w:jc w:val="center"/>
              <w:rPr>
                <w:rFonts w:ascii="Arial" w:hAnsi="Arial" w:cs="Arial"/>
                <w:color w:val="FF0000"/>
                <w:sz w:val="18"/>
              </w:rPr>
            </w:pPr>
            <w:r w:rsidRPr="006E3E21">
              <w:rPr>
                <w:rFonts w:ascii="Arial" w:hAnsi="Arial" w:cs="Arial"/>
                <w:color w:val="FF0000"/>
                <w:sz w:val="18"/>
              </w:rPr>
              <w:t>350</w:t>
            </w:r>
          </w:p>
        </w:tc>
        <w:tc>
          <w:tcPr>
            <w:tcW w:w="1843" w:type="dxa"/>
          </w:tcPr>
          <w:p w:rsidR="00A333E1" w:rsidRPr="006E3E21" w:rsidRDefault="00A333E1" w:rsidP="00083C3B">
            <w:pPr>
              <w:spacing w:before="40"/>
              <w:jc w:val="both"/>
              <w:rPr>
                <w:rFonts w:ascii="Arial" w:hAnsi="Arial" w:cs="Arial"/>
                <w:color w:val="FF0000"/>
                <w:sz w:val="18"/>
              </w:rPr>
            </w:pPr>
            <w:r w:rsidRPr="006E3E21">
              <w:rPr>
                <w:rFonts w:ascii="Arial" w:hAnsi="Arial" w:cs="Arial"/>
                <w:color w:val="FF0000"/>
                <w:sz w:val="18"/>
              </w:rPr>
              <w:t xml:space="preserve"> &gt; 2000 g.h</w:t>
            </w:r>
            <w:r w:rsidRPr="006E3E21">
              <w:rPr>
                <w:rFonts w:ascii="Arial" w:hAnsi="Arial" w:cs="Arial"/>
                <w:color w:val="FF0000"/>
                <w:sz w:val="18"/>
                <w:vertAlign w:val="superscript"/>
              </w:rPr>
              <w:t>-1</w:t>
            </w:r>
          </w:p>
        </w:tc>
      </w:tr>
      <w:tr w:rsidR="00A333E1" w:rsidTr="00083C3B">
        <w:trPr>
          <w:cantSplit/>
        </w:trPr>
        <w:tc>
          <w:tcPr>
            <w:tcW w:w="970" w:type="dxa"/>
            <w:tcBorders>
              <w:right w:val="double" w:sz="4" w:space="0" w:color="auto"/>
            </w:tcBorders>
          </w:tcPr>
          <w:p w:rsidR="00A333E1" w:rsidRDefault="00A333E1" w:rsidP="00083C3B">
            <w:pPr>
              <w:spacing w:before="4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</w:t>
            </w:r>
            <w:r>
              <w:rPr>
                <w:rFonts w:ascii="Arial" w:hAnsi="Arial" w:cs="Arial"/>
                <w:sz w:val="18"/>
                <w:vertAlign w:val="subscript"/>
              </w:rPr>
              <w:t xml:space="preserve">X </w:t>
            </w:r>
            <w:r>
              <w:rPr>
                <w:rFonts w:ascii="Arial" w:hAnsi="Arial" w:cs="Arial"/>
                <w:sz w:val="18"/>
              </w:rPr>
              <w:t>ako NO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</w:tc>
        <w:tc>
          <w:tcPr>
            <w:tcW w:w="1794" w:type="dxa"/>
            <w:tcBorders>
              <w:left w:val="double" w:sz="4" w:space="0" w:color="auto"/>
              <w:right w:val="single" w:sz="4" w:space="0" w:color="auto"/>
            </w:tcBorders>
          </w:tcPr>
          <w:p w:rsidR="00A333E1" w:rsidRDefault="00A333E1" w:rsidP="00083C3B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&lt; 5 – 500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A333E1" w:rsidRDefault="00A333E1" w:rsidP="00083C3B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A333E1" w:rsidRDefault="00A333E1" w:rsidP="00083C3B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A333E1" w:rsidRPr="006E3E21" w:rsidRDefault="00A333E1" w:rsidP="00083C3B">
            <w:pPr>
              <w:spacing w:before="40"/>
              <w:jc w:val="center"/>
              <w:rPr>
                <w:rFonts w:ascii="Arial" w:hAnsi="Arial" w:cs="Arial"/>
                <w:color w:val="FF0000"/>
                <w:sz w:val="18"/>
              </w:rPr>
            </w:pPr>
            <w:r w:rsidRPr="006E3E21">
              <w:rPr>
                <w:rFonts w:ascii="Arial" w:hAnsi="Arial" w:cs="Arial"/>
                <w:color w:val="FF0000"/>
                <w:sz w:val="18"/>
              </w:rPr>
              <w:t>350</w:t>
            </w:r>
          </w:p>
        </w:tc>
        <w:tc>
          <w:tcPr>
            <w:tcW w:w="1843" w:type="dxa"/>
          </w:tcPr>
          <w:p w:rsidR="00A333E1" w:rsidRPr="006E3E21" w:rsidRDefault="00A333E1" w:rsidP="00083C3B">
            <w:pPr>
              <w:spacing w:before="40"/>
              <w:jc w:val="both"/>
              <w:rPr>
                <w:rFonts w:ascii="Arial" w:hAnsi="Arial" w:cs="Arial"/>
                <w:color w:val="FF0000"/>
                <w:sz w:val="18"/>
              </w:rPr>
            </w:pPr>
            <w:r w:rsidRPr="006E3E21">
              <w:rPr>
                <w:rFonts w:ascii="Arial" w:hAnsi="Arial" w:cs="Arial"/>
                <w:color w:val="FF0000"/>
                <w:sz w:val="18"/>
              </w:rPr>
              <w:t xml:space="preserve"> &gt; 2000 g.h</w:t>
            </w:r>
            <w:r w:rsidRPr="006E3E21">
              <w:rPr>
                <w:rFonts w:ascii="Arial" w:hAnsi="Arial" w:cs="Arial"/>
                <w:color w:val="FF0000"/>
                <w:sz w:val="18"/>
                <w:vertAlign w:val="superscript"/>
              </w:rPr>
              <w:t>-1</w:t>
            </w:r>
          </w:p>
        </w:tc>
      </w:tr>
      <w:tr w:rsidR="00A333E1" w:rsidTr="00083C3B">
        <w:trPr>
          <w:cantSplit/>
        </w:trPr>
        <w:tc>
          <w:tcPr>
            <w:tcW w:w="970" w:type="dxa"/>
            <w:tcBorders>
              <w:right w:val="double" w:sz="4" w:space="0" w:color="auto"/>
            </w:tcBorders>
          </w:tcPr>
          <w:p w:rsidR="00A333E1" w:rsidRDefault="00A333E1" w:rsidP="00083C3B">
            <w:pPr>
              <w:spacing w:before="4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HCl</w:t>
            </w:r>
          </w:p>
        </w:tc>
        <w:tc>
          <w:tcPr>
            <w:tcW w:w="1794" w:type="dxa"/>
            <w:tcBorders>
              <w:left w:val="double" w:sz="4" w:space="0" w:color="auto"/>
              <w:right w:val="single" w:sz="4" w:space="0" w:color="auto"/>
            </w:tcBorders>
          </w:tcPr>
          <w:p w:rsidR="00A333E1" w:rsidRDefault="00A333E1" w:rsidP="00083C3B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&lt; 0,3 – 30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A333E1" w:rsidRDefault="00A333E1" w:rsidP="00083C3B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A333E1" w:rsidRDefault="00A333E1" w:rsidP="00083C3B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A333E1" w:rsidRPr="006E3E21" w:rsidRDefault="00A333E1" w:rsidP="00083C3B">
            <w:pPr>
              <w:spacing w:before="40"/>
              <w:jc w:val="center"/>
              <w:rPr>
                <w:rFonts w:ascii="Arial" w:hAnsi="Arial" w:cs="Arial"/>
                <w:color w:val="FF0000"/>
                <w:sz w:val="18"/>
              </w:rPr>
            </w:pPr>
            <w:r w:rsidRPr="006E3E21">
              <w:rPr>
                <w:rFonts w:ascii="Arial" w:hAnsi="Arial" w:cs="Arial"/>
                <w:color w:val="FF0000"/>
                <w:sz w:val="18"/>
              </w:rPr>
              <w:t>30</w:t>
            </w:r>
          </w:p>
        </w:tc>
        <w:tc>
          <w:tcPr>
            <w:tcW w:w="1843" w:type="dxa"/>
          </w:tcPr>
          <w:p w:rsidR="00A333E1" w:rsidRPr="006E3E21" w:rsidRDefault="00A333E1" w:rsidP="00083C3B">
            <w:pPr>
              <w:spacing w:before="40"/>
              <w:jc w:val="both"/>
              <w:rPr>
                <w:rFonts w:ascii="Arial" w:hAnsi="Arial" w:cs="Arial"/>
                <w:color w:val="FF0000"/>
                <w:sz w:val="18"/>
              </w:rPr>
            </w:pPr>
            <w:r w:rsidRPr="006E3E21">
              <w:rPr>
                <w:rFonts w:ascii="Arial" w:hAnsi="Arial" w:cs="Arial"/>
                <w:color w:val="FF0000"/>
                <w:sz w:val="18"/>
              </w:rPr>
              <w:t>&gt; 200 g.h</w:t>
            </w:r>
            <w:r w:rsidRPr="006E3E21">
              <w:rPr>
                <w:rFonts w:ascii="Arial" w:hAnsi="Arial" w:cs="Arial"/>
                <w:color w:val="FF0000"/>
                <w:sz w:val="18"/>
                <w:vertAlign w:val="superscript"/>
              </w:rPr>
              <w:t>-1</w:t>
            </w:r>
          </w:p>
        </w:tc>
      </w:tr>
      <w:tr w:rsidR="00A333E1" w:rsidTr="00083C3B">
        <w:trPr>
          <w:cantSplit/>
        </w:trPr>
        <w:tc>
          <w:tcPr>
            <w:tcW w:w="970" w:type="dxa"/>
            <w:tcBorders>
              <w:right w:val="double" w:sz="4" w:space="0" w:color="auto"/>
            </w:tcBorders>
          </w:tcPr>
          <w:p w:rsidR="00A333E1" w:rsidRDefault="00A333E1" w:rsidP="00083C3B">
            <w:pPr>
              <w:spacing w:before="4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HF</w:t>
            </w:r>
          </w:p>
        </w:tc>
        <w:tc>
          <w:tcPr>
            <w:tcW w:w="1794" w:type="dxa"/>
            <w:tcBorders>
              <w:left w:val="double" w:sz="4" w:space="0" w:color="auto"/>
              <w:right w:val="single" w:sz="4" w:space="0" w:color="auto"/>
            </w:tcBorders>
          </w:tcPr>
          <w:p w:rsidR="00A333E1" w:rsidRDefault="00A333E1" w:rsidP="00083C3B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&lt; 0,1 – 2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A333E1" w:rsidRDefault="00A333E1" w:rsidP="00083C3B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A333E1" w:rsidRDefault="00A333E1" w:rsidP="00083C3B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A333E1" w:rsidRPr="006E3E21" w:rsidRDefault="00A333E1" w:rsidP="00083C3B">
            <w:pPr>
              <w:spacing w:before="40"/>
              <w:jc w:val="center"/>
              <w:rPr>
                <w:rFonts w:ascii="Arial" w:hAnsi="Arial" w:cs="Arial"/>
                <w:color w:val="FF0000"/>
                <w:sz w:val="18"/>
              </w:rPr>
            </w:pPr>
            <w:r w:rsidRPr="006E3E21">
              <w:rPr>
                <w:rFonts w:ascii="Arial" w:hAnsi="Arial" w:cs="Arial"/>
                <w:color w:val="FF0000"/>
                <w:sz w:val="18"/>
              </w:rPr>
              <w:t>3</w:t>
            </w:r>
          </w:p>
        </w:tc>
        <w:tc>
          <w:tcPr>
            <w:tcW w:w="1843" w:type="dxa"/>
          </w:tcPr>
          <w:p w:rsidR="00A333E1" w:rsidRPr="006E3E21" w:rsidRDefault="00A333E1" w:rsidP="00083C3B">
            <w:pPr>
              <w:spacing w:before="40"/>
              <w:jc w:val="both"/>
              <w:rPr>
                <w:rFonts w:ascii="Arial" w:hAnsi="Arial" w:cs="Arial"/>
                <w:color w:val="FF0000"/>
                <w:sz w:val="18"/>
              </w:rPr>
            </w:pPr>
            <w:r w:rsidRPr="006E3E21">
              <w:rPr>
                <w:rFonts w:ascii="Arial" w:hAnsi="Arial" w:cs="Arial"/>
                <w:color w:val="FF0000"/>
                <w:sz w:val="18"/>
              </w:rPr>
              <w:t>&gt; 25 g.h</w:t>
            </w:r>
            <w:r w:rsidRPr="006E3E21">
              <w:rPr>
                <w:rFonts w:ascii="Arial" w:hAnsi="Arial" w:cs="Arial"/>
                <w:color w:val="FF0000"/>
                <w:sz w:val="18"/>
                <w:vertAlign w:val="superscript"/>
              </w:rPr>
              <w:t>-1</w:t>
            </w:r>
          </w:p>
        </w:tc>
      </w:tr>
      <w:tr w:rsidR="00A333E1" w:rsidTr="00083C3B">
        <w:trPr>
          <w:cantSplit/>
        </w:trPr>
        <w:tc>
          <w:tcPr>
            <w:tcW w:w="970" w:type="dxa"/>
            <w:tcBorders>
              <w:right w:val="double" w:sz="4" w:space="0" w:color="auto"/>
            </w:tcBorders>
          </w:tcPr>
          <w:p w:rsidR="00A333E1" w:rsidRDefault="00A333E1" w:rsidP="00083C3B">
            <w:pPr>
              <w:spacing w:before="4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NH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</w:tc>
        <w:tc>
          <w:tcPr>
            <w:tcW w:w="1794" w:type="dxa"/>
            <w:tcBorders>
              <w:left w:val="double" w:sz="4" w:space="0" w:color="auto"/>
              <w:right w:val="single" w:sz="4" w:space="0" w:color="auto"/>
            </w:tcBorders>
          </w:tcPr>
          <w:p w:rsidR="00A333E1" w:rsidRDefault="00A333E1" w:rsidP="00083C3B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0,1 – 10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A333E1" w:rsidRDefault="00A333E1" w:rsidP="00083C3B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A333E1" w:rsidRDefault="00A333E1" w:rsidP="00083C3B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A333E1" w:rsidRPr="006E3E21" w:rsidRDefault="00A333E1" w:rsidP="00083C3B">
            <w:pPr>
              <w:spacing w:before="40"/>
              <w:jc w:val="center"/>
              <w:rPr>
                <w:rFonts w:ascii="Arial" w:hAnsi="Arial" w:cs="Arial"/>
                <w:color w:val="FF0000"/>
                <w:sz w:val="18"/>
              </w:rPr>
            </w:pPr>
            <w:r w:rsidRPr="006E3E21">
              <w:rPr>
                <w:rFonts w:ascii="Arial" w:hAnsi="Arial" w:cs="Arial"/>
                <w:color w:val="FF0000"/>
                <w:sz w:val="18"/>
              </w:rPr>
              <w:t>30</w:t>
            </w:r>
          </w:p>
        </w:tc>
        <w:tc>
          <w:tcPr>
            <w:tcW w:w="1843" w:type="dxa"/>
          </w:tcPr>
          <w:p w:rsidR="00A333E1" w:rsidRPr="006E3E21" w:rsidRDefault="00A333E1" w:rsidP="00083C3B">
            <w:pPr>
              <w:spacing w:before="40"/>
              <w:jc w:val="both"/>
              <w:rPr>
                <w:rFonts w:ascii="Arial" w:hAnsi="Arial" w:cs="Arial"/>
                <w:color w:val="FF0000"/>
                <w:sz w:val="18"/>
              </w:rPr>
            </w:pPr>
            <w:r w:rsidRPr="006E3E21">
              <w:rPr>
                <w:rFonts w:ascii="Arial" w:hAnsi="Arial" w:cs="Arial"/>
                <w:color w:val="FF0000"/>
                <w:sz w:val="18"/>
              </w:rPr>
              <w:t>&gt; 200 kg.h</w:t>
            </w:r>
            <w:r w:rsidRPr="006E3E21">
              <w:rPr>
                <w:rFonts w:ascii="Arial" w:hAnsi="Arial" w:cs="Arial"/>
                <w:color w:val="FF0000"/>
                <w:sz w:val="18"/>
                <w:vertAlign w:val="superscript"/>
              </w:rPr>
              <w:t>-1</w:t>
            </w:r>
          </w:p>
        </w:tc>
      </w:tr>
      <w:tr w:rsidR="00A333E1" w:rsidTr="00083C3B">
        <w:trPr>
          <w:cantSplit/>
        </w:trPr>
        <w:tc>
          <w:tcPr>
            <w:tcW w:w="970" w:type="dxa"/>
            <w:tcBorders>
              <w:right w:val="double" w:sz="4" w:space="0" w:color="auto"/>
            </w:tcBorders>
          </w:tcPr>
          <w:p w:rsidR="00A333E1" w:rsidRDefault="00A333E1" w:rsidP="00083C3B">
            <w:pPr>
              <w:spacing w:before="4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HCN</w:t>
            </w:r>
          </w:p>
        </w:tc>
        <w:tc>
          <w:tcPr>
            <w:tcW w:w="1794" w:type="dxa"/>
            <w:tcBorders>
              <w:left w:val="double" w:sz="4" w:space="0" w:color="auto"/>
              <w:right w:val="single" w:sz="4" w:space="0" w:color="auto"/>
            </w:tcBorders>
          </w:tcPr>
          <w:p w:rsidR="00A333E1" w:rsidRDefault="00A333E1" w:rsidP="00083C3B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0,1 – 3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A333E1" w:rsidRDefault="00A333E1" w:rsidP="00083C3B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A333E1" w:rsidRDefault="00A333E1" w:rsidP="00083C3B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A333E1" w:rsidRPr="006E3E21" w:rsidRDefault="00A333E1" w:rsidP="00083C3B">
            <w:pPr>
              <w:spacing w:before="40"/>
              <w:jc w:val="center"/>
              <w:rPr>
                <w:rFonts w:ascii="Arial" w:hAnsi="Arial" w:cs="Arial"/>
                <w:color w:val="FF0000"/>
                <w:sz w:val="18"/>
              </w:rPr>
            </w:pPr>
            <w:r w:rsidRPr="006E3E21">
              <w:rPr>
                <w:rFonts w:ascii="Arial" w:hAnsi="Arial" w:cs="Arial"/>
                <w:color w:val="FF0000"/>
                <w:sz w:val="18"/>
              </w:rPr>
              <w:t>3</w:t>
            </w:r>
          </w:p>
        </w:tc>
        <w:tc>
          <w:tcPr>
            <w:tcW w:w="1843" w:type="dxa"/>
          </w:tcPr>
          <w:p w:rsidR="00A333E1" w:rsidRPr="006E3E21" w:rsidRDefault="00A333E1" w:rsidP="00083C3B">
            <w:pPr>
              <w:spacing w:before="40"/>
              <w:jc w:val="both"/>
              <w:rPr>
                <w:rFonts w:ascii="Arial" w:hAnsi="Arial" w:cs="Arial"/>
                <w:color w:val="FF0000"/>
                <w:sz w:val="18"/>
              </w:rPr>
            </w:pPr>
            <w:r w:rsidRPr="006E3E21">
              <w:rPr>
                <w:rFonts w:ascii="Arial" w:hAnsi="Arial" w:cs="Arial"/>
                <w:color w:val="FF0000"/>
                <w:sz w:val="18"/>
              </w:rPr>
              <w:t>&gt; 25 g.h</w:t>
            </w:r>
            <w:r w:rsidRPr="006E3E21">
              <w:rPr>
                <w:rFonts w:ascii="Arial" w:hAnsi="Arial" w:cs="Arial"/>
                <w:color w:val="FF0000"/>
                <w:sz w:val="18"/>
                <w:vertAlign w:val="superscript"/>
              </w:rPr>
              <w:t>-1</w:t>
            </w:r>
          </w:p>
        </w:tc>
      </w:tr>
      <w:tr w:rsidR="00A333E1" w:rsidTr="00083C3B">
        <w:trPr>
          <w:cantSplit/>
        </w:trPr>
        <w:tc>
          <w:tcPr>
            <w:tcW w:w="970" w:type="dxa"/>
            <w:tcBorders>
              <w:right w:val="double" w:sz="4" w:space="0" w:color="auto"/>
            </w:tcBorders>
          </w:tcPr>
          <w:p w:rsidR="00A333E1" w:rsidRPr="001136A0" w:rsidRDefault="00A333E1" w:rsidP="00083C3B">
            <w:pPr>
              <w:spacing w:before="40"/>
              <w:jc w:val="both"/>
              <w:rPr>
                <w:rFonts w:ascii="Arial" w:hAnsi="Arial" w:cs="Arial"/>
                <w:b/>
                <w:bCs/>
                <w:sz w:val="18"/>
                <w:highlight w:val="yellow"/>
              </w:rPr>
            </w:pPr>
            <w:r w:rsidRPr="001136A0">
              <w:rPr>
                <w:rFonts w:ascii="Arial" w:hAnsi="Arial" w:cs="Arial"/>
                <w:b/>
                <w:bCs/>
                <w:sz w:val="18"/>
                <w:highlight w:val="yellow"/>
              </w:rPr>
              <w:t>Zn</w:t>
            </w:r>
          </w:p>
        </w:tc>
        <w:tc>
          <w:tcPr>
            <w:tcW w:w="1794" w:type="dxa"/>
            <w:tcBorders>
              <w:left w:val="double" w:sz="4" w:space="0" w:color="auto"/>
              <w:right w:val="single" w:sz="4" w:space="0" w:color="auto"/>
            </w:tcBorders>
          </w:tcPr>
          <w:p w:rsidR="00A333E1" w:rsidRPr="001136A0" w:rsidRDefault="00A333E1" w:rsidP="00083C3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  <w:highlight w:val="yellow"/>
              </w:rPr>
            </w:pPr>
            <w:r w:rsidRPr="001136A0">
              <w:rPr>
                <w:rFonts w:ascii="Arial" w:hAnsi="Arial" w:cs="Arial"/>
                <w:b/>
                <w:bCs/>
                <w:sz w:val="18"/>
                <w:highlight w:val="yellow"/>
              </w:rPr>
              <w:t>&lt; 0,01 – 0,5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A333E1" w:rsidRPr="001136A0" w:rsidRDefault="00A333E1" w:rsidP="00083C3B">
            <w:pPr>
              <w:spacing w:before="40"/>
              <w:ind w:left="-57" w:right="-57"/>
              <w:jc w:val="both"/>
              <w:rPr>
                <w:rFonts w:ascii="Arial" w:hAnsi="Arial" w:cs="Arial"/>
                <w:b/>
                <w:bCs/>
                <w:sz w:val="18"/>
                <w:highlight w:val="yellow"/>
              </w:rPr>
            </w:pPr>
            <w:r w:rsidRPr="001136A0">
              <w:rPr>
                <w:rFonts w:ascii="Arial" w:hAnsi="Arial" w:cs="Arial"/>
                <w:b/>
                <w:bCs/>
                <w:sz w:val="18"/>
                <w:highlight w:val="yellow"/>
              </w:rPr>
              <w:t xml:space="preserve"> 0,2-2,5 pri Zn-Ni proc.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A333E1" w:rsidRPr="001136A0" w:rsidRDefault="00A333E1" w:rsidP="00083C3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  <w:highlight w:val="yellow"/>
              </w:rPr>
            </w:pPr>
            <w:r w:rsidRPr="001136A0">
              <w:rPr>
                <w:rFonts w:ascii="Arial" w:hAnsi="Arial" w:cs="Arial"/>
                <w:b/>
                <w:bCs/>
                <w:sz w:val="18"/>
                <w:highlight w:val="yellow"/>
              </w:rPr>
              <w:t>2,5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A333E1" w:rsidRPr="001136A0" w:rsidRDefault="00A333E1" w:rsidP="00083C3B">
            <w:pPr>
              <w:spacing w:before="4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highlight w:val="yellow"/>
              </w:rPr>
            </w:pPr>
            <w:r w:rsidRPr="001136A0">
              <w:rPr>
                <w:rFonts w:ascii="Arial" w:hAnsi="Arial" w:cs="Arial"/>
                <w:b/>
                <w:bCs/>
                <w:color w:val="FF0000"/>
                <w:sz w:val="18"/>
                <w:highlight w:val="yellow"/>
              </w:rPr>
              <w:t>1</w:t>
            </w:r>
          </w:p>
        </w:tc>
        <w:tc>
          <w:tcPr>
            <w:tcW w:w="1843" w:type="dxa"/>
          </w:tcPr>
          <w:p w:rsidR="00A333E1" w:rsidRPr="006E3E21" w:rsidRDefault="00A333E1" w:rsidP="00083C3B">
            <w:pPr>
              <w:spacing w:before="40"/>
              <w:jc w:val="both"/>
              <w:rPr>
                <w:rFonts w:ascii="Arial" w:hAnsi="Arial" w:cs="Arial"/>
                <w:color w:val="FF0000"/>
                <w:sz w:val="18"/>
              </w:rPr>
            </w:pPr>
            <w:r w:rsidRPr="001136A0">
              <w:rPr>
                <w:rFonts w:ascii="Arial" w:hAnsi="Arial" w:cs="Arial"/>
                <w:b/>
                <w:bCs/>
                <w:color w:val="FF0000"/>
                <w:sz w:val="18"/>
                <w:highlight w:val="yellow"/>
              </w:rPr>
              <w:t xml:space="preserve"> &gt; 5 g.h</w:t>
            </w:r>
            <w:r w:rsidRPr="001136A0">
              <w:rPr>
                <w:rFonts w:ascii="Arial" w:hAnsi="Arial" w:cs="Arial"/>
                <w:b/>
                <w:bCs/>
                <w:color w:val="FF0000"/>
                <w:sz w:val="18"/>
                <w:highlight w:val="yellow"/>
                <w:vertAlign w:val="superscript"/>
              </w:rPr>
              <w:t>-1</w:t>
            </w:r>
          </w:p>
        </w:tc>
      </w:tr>
      <w:tr w:rsidR="00A333E1" w:rsidTr="00083C3B">
        <w:trPr>
          <w:cantSplit/>
        </w:trPr>
        <w:tc>
          <w:tcPr>
            <w:tcW w:w="970" w:type="dxa"/>
            <w:tcBorders>
              <w:right w:val="double" w:sz="4" w:space="0" w:color="auto"/>
            </w:tcBorders>
          </w:tcPr>
          <w:p w:rsidR="00A333E1" w:rsidRDefault="00A333E1" w:rsidP="00083C3B">
            <w:pPr>
              <w:spacing w:before="4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Cu</w:t>
            </w:r>
          </w:p>
        </w:tc>
        <w:tc>
          <w:tcPr>
            <w:tcW w:w="1794" w:type="dxa"/>
            <w:tcBorders>
              <w:left w:val="double" w:sz="4" w:space="0" w:color="auto"/>
              <w:right w:val="single" w:sz="4" w:space="0" w:color="auto"/>
            </w:tcBorders>
          </w:tcPr>
          <w:p w:rsidR="00A333E1" w:rsidRDefault="00A333E1" w:rsidP="00083C3B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&lt; 0,01 – 0,02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A333E1" w:rsidRDefault="00A333E1" w:rsidP="00083C3B">
            <w:pPr>
              <w:spacing w:before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A333E1" w:rsidRDefault="00A333E1" w:rsidP="00083C3B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A333E1" w:rsidRPr="006E3E21" w:rsidRDefault="00A333E1" w:rsidP="00083C3B">
            <w:pPr>
              <w:spacing w:before="40"/>
              <w:jc w:val="center"/>
              <w:rPr>
                <w:rFonts w:ascii="Arial" w:hAnsi="Arial" w:cs="Arial"/>
                <w:color w:val="FF0000"/>
                <w:sz w:val="18"/>
              </w:rPr>
            </w:pPr>
            <w:r w:rsidRPr="006E3E21">
              <w:rPr>
                <w:rFonts w:ascii="Arial" w:hAnsi="Arial" w:cs="Arial"/>
                <w:color w:val="FF0000"/>
                <w:sz w:val="18"/>
              </w:rPr>
              <w:t>1</w:t>
            </w:r>
          </w:p>
        </w:tc>
        <w:tc>
          <w:tcPr>
            <w:tcW w:w="1843" w:type="dxa"/>
          </w:tcPr>
          <w:p w:rsidR="00A333E1" w:rsidRPr="006E3E21" w:rsidRDefault="00A333E1" w:rsidP="00083C3B">
            <w:pPr>
              <w:spacing w:before="40"/>
              <w:jc w:val="both"/>
              <w:rPr>
                <w:rFonts w:ascii="Arial" w:hAnsi="Arial" w:cs="Arial"/>
                <w:color w:val="FF0000"/>
                <w:sz w:val="18"/>
              </w:rPr>
            </w:pPr>
            <w:r w:rsidRPr="006E3E21">
              <w:rPr>
                <w:rFonts w:ascii="Arial" w:hAnsi="Arial" w:cs="Arial"/>
                <w:color w:val="FF0000"/>
                <w:sz w:val="18"/>
              </w:rPr>
              <w:t>&gt; 5 g.h</w:t>
            </w:r>
            <w:r w:rsidRPr="006E3E21">
              <w:rPr>
                <w:rFonts w:ascii="Arial" w:hAnsi="Arial" w:cs="Arial"/>
                <w:color w:val="FF0000"/>
                <w:sz w:val="18"/>
                <w:vertAlign w:val="superscript"/>
              </w:rPr>
              <w:t>-1</w:t>
            </w:r>
          </w:p>
        </w:tc>
      </w:tr>
      <w:tr w:rsidR="00A333E1" w:rsidTr="00083C3B">
        <w:trPr>
          <w:cantSplit/>
        </w:trPr>
        <w:tc>
          <w:tcPr>
            <w:tcW w:w="970" w:type="dxa"/>
            <w:tcBorders>
              <w:right w:val="double" w:sz="4" w:space="0" w:color="auto"/>
            </w:tcBorders>
          </w:tcPr>
          <w:p w:rsidR="00A333E1" w:rsidRDefault="00A333E1" w:rsidP="00083C3B">
            <w:pPr>
              <w:spacing w:before="40"/>
              <w:jc w:val="both"/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</w:rPr>
              <w:t>Cr</w:t>
            </w:r>
            <w:r>
              <w:rPr>
                <w:rFonts w:ascii="Arial" w:hAnsi="Arial" w:cs="Arial"/>
                <w:sz w:val="18"/>
                <w:vertAlign w:val="superscript"/>
              </w:rPr>
              <w:t>6+</w:t>
            </w:r>
          </w:p>
        </w:tc>
        <w:tc>
          <w:tcPr>
            <w:tcW w:w="1794" w:type="dxa"/>
            <w:tcBorders>
              <w:left w:val="double" w:sz="4" w:space="0" w:color="auto"/>
              <w:right w:val="single" w:sz="4" w:space="0" w:color="auto"/>
            </w:tcBorders>
          </w:tcPr>
          <w:p w:rsidR="00A333E1" w:rsidRDefault="00A333E1" w:rsidP="00083C3B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&lt; 0,01 – 0,2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A333E1" w:rsidRDefault="00A333E1" w:rsidP="00083C3B">
            <w:pPr>
              <w:spacing w:before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A333E1" w:rsidRDefault="00A333E1" w:rsidP="00083C3B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A333E1" w:rsidRPr="006E3E21" w:rsidRDefault="00A333E1" w:rsidP="00083C3B">
            <w:pPr>
              <w:spacing w:before="40"/>
              <w:jc w:val="center"/>
              <w:rPr>
                <w:rFonts w:ascii="Arial" w:hAnsi="Arial" w:cs="Arial"/>
                <w:color w:val="FF0000"/>
                <w:sz w:val="18"/>
              </w:rPr>
            </w:pPr>
            <w:r w:rsidRPr="006E3E21">
              <w:rPr>
                <w:rFonts w:ascii="Arial" w:hAnsi="Arial" w:cs="Arial"/>
                <w:color w:val="FF0000"/>
                <w:sz w:val="18"/>
              </w:rPr>
              <w:t>0,05</w:t>
            </w:r>
          </w:p>
        </w:tc>
        <w:tc>
          <w:tcPr>
            <w:tcW w:w="1843" w:type="dxa"/>
          </w:tcPr>
          <w:p w:rsidR="00A333E1" w:rsidRPr="006E3E21" w:rsidRDefault="00A333E1" w:rsidP="00083C3B">
            <w:pPr>
              <w:spacing w:before="40"/>
              <w:jc w:val="both"/>
              <w:rPr>
                <w:rFonts w:ascii="Arial" w:hAnsi="Arial" w:cs="Arial"/>
                <w:color w:val="FF0000"/>
                <w:sz w:val="18"/>
              </w:rPr>
            </w:pPr>
            <w:r w:rsidRPr="006E3E21">
              <w:rPr>
                <w:rFonts w:ascii="Arial" w:hAnsi="Arial" w:cs="Arial"/>
                <w:color w:val="FF0000"/>
                <w:sz w:val="18"/>
              </w:rPr>
              <w:t xml:space="preserve"> &gt; 0,15 g.h</w:t>
            </w:r>
            <w:r w:rsidRPr="006E3E21">
              <w:rPr>
                <w:rFonts w:ascii="Arial" w:hAnsi="Arial" w:cs="Arial"/>
                <w:color w:val="FF0000"/>
                <w:sz w:val="18"/>
                <w:vertAlign w:val="superscript"/>
              </w:rPr>
              <w:t>-1</w:t>
            </w:r>
          </w:p>
        </w:tc>
      </w:tr>
      <w:tr w:rsidR="00A333E1" w:rsidTr="00083C3B">
        <w:trPr>
          <w:cantSplit/>
        </w:trPr>
        <w:tc>
          <w:tcPr>
            <w:tcW w:w="970" w:type="dxa"/>
            <w:tcBorders>
              <w:right w:val="double" w:sz="4" w:space="0" w:color="auto"/>
            </w:tcBorders>
          </w:tcPr>
          <w:p w:rsidR="00A333E1" w:rsidRDefault="00A333E1" w:rsidP="00083C3B">
            <w:pPr>
              <w:spacing w:before="4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Celkový Cr </w:t>
            </w:r>
          </w:p>
        </w:tc>
        <w:tc>
          <w:tcPr>
            <w:tcW w:w="1794" w:type="dxa"/>
            <w:tcBorders>
              <w:left w:val="double" w:sz="4" w:space="0" w:color="auto"/>
              <w:right w:val="single" w:sz="4" w:space="0" w:color="auto"/>
            </w:tcBorders>
          </w:tcPr>
          <w:p w:rsidR="00A333E1" w:rsidRDefault="00A333E1" w:rsidP="00083C3B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&lt; 0,1 – 0,2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A333E1" w:rsidRDefault="00A333E1" w:rsidP="00083C3B">
            <w:pPr>
              <w:spacing w:before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A333E1" w:rsidRDefault="00A333E1" w:rsidP="00083C3B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0,5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A333E1" w:rsidRPr="006E3E21" w:rsidRDefault="00A333E1" w:rsidP="00083C3B">
            <w:pPr>
              <w:spacing w:before="40"/>
              <w:jc w:val="center"/>
              <w:rPr>
                <w:rFonts w:ascii="Arial" w:hAnsi="Arial" w:cs="Arial"/>
                <w:color w:val="FF0000"/>
                <w:sz w:val="18"/>
              </w:rPr>
            </w:pPr>
            <w:r w:rsidRPr="006E3E21">
              <w:rPr>
                <w:rFonts w:ascii="Arial" w:hAnsi="Arial" w:cs="Arial"/>
                <w:color w:val="FF0000"/>
                <w:sz w:val="18"/>
              </w:rPr>
              <w:t>1</w:t>
            </w:r>
          </w:p>
        </w:tc>
        <w:tc>
          <w:tcPr>
            <w:tcW w:w="1843" w:type="dxa"/>
          </w:tcPr>
          <w:p w:rsidR="00A333E1" w:rsidRPr="006E3E21" w:rsidRDefault="00A333E1" w:rsidP="00083C3B">
            <w:pPr>
              <w:spacing w:before="40"/>
              <w:ind w:left="-57" w:right="-57"/>
              <w:jc w:val="both"/>
              <w:rPr>
                <w:rFonts w:ascii="Arial" w:hAnsi="Arial" w:cs="Arial"/>
                <w:color w:val="FF0000"/>
                <w:sz w:val="18"/>
              </w:rPr>
            </w:pPr>
            <w:r w:rsidRPr="006E3E21">
              <w:rPr>
                <w:rFonts w:ascii="Arial" w:hAnsi="Arial" w:cs="Arial"/>
                <w:color w:val="FF0000"/>
                <w:sz w:val="18"/>
              </w:rPr>
              <w:t xml:space="preserve"> &gt; 5 g.h</w:t>
            </w:r>
            <w:r w:rsidRPr="006E3E21">
              <w:rPr>
                <w:rFonts w:ascii="Arial" w:hAnsi="Arial" w:cs="Arial"/>
                <w:color w:val="FF0000"/>
                <w:sz w:val="18"/>
                <w:vertAlign w:val="superscript"/>
              </w:rPr>
              <w:t>-1</w:t>
            </w:r>
          </w:p>
        </w:tc>
      </w:tr>
      <w:tr w:rsidR="00A333E1" w:rsidTr="00083C3B">
        <w:trPr>
          <w:cantSplit/>
        </w:trPr>
        <w:tc>
          <w:tcPr>
            <w:tcW w:w="970" w:type="dxa"/>
            <w:tcBorders>
              <w:right w:val="double" w:sz="4" w:space="0" w:color="auto"/>
            </w:tcBorders>
          </w:tcPr>
          <w:p w:rsidR="00A333E1" w:rsidRDefault="00A333E1" w:rsidP="00083C3B">
            <w:pPr>
              <w:spacing w:before="40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Ni</w:t>
            </w:r>
          </w:p>
        </w:tc>
        <w:tc>
          <w:tcPr>
            <w:tcW w:w="1794" w:type="dxa"/>
            <w:tcBorders>
              <w:left w:val="double" w:sz="4" w:space="0" w:color="auto"/>
              <w:right w:val="single" w:sz="4" w:space="0" w:color="auto"/>
            </w:tcBorders>
          </w:tcPr>
          <w:p w:rsidR="00A333E1" w:rsidRDefault="00A333E1" w:rsidP="00083C3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&lt; 0,1 – 0,1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A333E1" w:rsidRDefault="00A333E1" w:rsidP="00083C3B">
            <w:pPr>
              <w:spacing w:before="4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A333E1" w:rsidRDefault="00A333E1" w:rsidP="00083C3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0,5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A333E1" w:rsidRPr="006E3E21" w:rsidRDefault="00A333E1" w:rsidP="00083C3B">
            <w:pPr>
              <w:spacing w:before="40"/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6E3E21">
              <w:rPr>
                <w:rFonts w:ascii="Arial" w:hAnsi="Arial" w:cs="Arial"/>
                <w:b/>
                <w:bCs/>
                <w:color w:val="FF0000"/>
                <w:sz w:val="18"/>
              </w:rPr>
              <w:t>0,5</w:t>
            </w:r>
          </w:p>
        </w:tc>
        <w:tc>
          <w:tcPr>
            <w:tcW w:w="1843" w:type="dxa"/>
          </w:tcPr>
          <w:p w:rsidR="00A333E1" w:rsidRPr="006E3E21" w:rsidRDefault="00A333E1" w:rsidP="00083C3B">
            <w:pPr>
              <w:spacing w:before="40"/>
              <w:jc w:val="both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6E3E21">
              <w:rPr>
                <w:rFonts w:ascii="Arial" w:hAnsi="Arial" w:cs="Arial"/>
                <w:b/>
                <w:bCs/>
                <w:color w:val="FF0000"/>
                <w:sz w:val="18"/>
              </w:rPr>
              <w:t xml:space="preserve"> &gt; 1,5 g.h</w:t>
            </w:r>
            <w:r w:rsidRPr="006E3E21">
              <w:rPr>
                <w:rFonts w:ascii="Arial" w:hAnsi="Arial" w:cs="Arial"/>
                <w:b/>
                <w:bCs/>
                <w:color w:val="FF0000"/>
                <w:sz w:val="18"/>
                <w:vertAlign w:val="superscript"/>
              </w:rPr>
              <w:t>-1</w:t>
            </w:r>
          </w:p>
        </w:tc>
      </w:tr>
    </w:tbl>
    <w:p w:rsidR="00A333E1" w:rsidRDefault="00A333E1" w:rsidP="00A333E1">
      <w:pPr>
        <w:pStyle w:val="courier11"/>
        <w:widowControl/>
        <w:rPr>
          <w:rFonts w:ascii="Arial" w:hAnsi="Arial" w:cs="Arial"/>
          <w:color w:val="0000FF"/>
          <w:szCs w:val="24"/>
        </w:rPr>
      </w:pPr>
      <w:r>
        <w:rPr>
          <w:rFonts w:ascii="Arial" w:hAnsi="Arial" w:cs="Arial"/>
          <w:color w:val="0000FF"/>
          <w:szCs w:val="24"/>
        </w:rPr>
        <w:t xml:space="preserve"> Z tabuľky vyplýva, že Zn   OU určite zníži na hodnotu  1,0 mg/m3. Ostatné ukazovatele by mali byť OK </w:t>
      </w:r>
    </w:p>
    <w:p w:rsidR="00A333E1" w:rsidRPr="00550B86" w:rsidRDefault="00A333E1" w:rsidP="00A333E1">
      <w:pPr>
        <w:pStyle w:val="courier11"/>
        <w:widowControl/>
        <w:rPr>
          <w:rFonts w:ascii="Arial" w:hAnsi="Arial" w:cs="Arial"/>
          <w:color w:val="0000FF"/>
          <w:szCs w:val="24"/>
        </w:rPr>
      </w:pPr>
    </w:p>
    <w:p w:rsidR="00A333E1" w:rsidRDefault="00A333E1" w:rsidP="00A333E1">
      <w:pPr>
        <w:pStyle w:val="courier11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 našom prípade sú aktuálne len TZL, Ni a Zn. </w:t>
      </w:r>
    </w:p>
    <w:p w:rsidR="00A333E1" w:rsidRDefault="00A333E1" w:rsidP="00A333E1">
      <w:pPr>
        <w:pStyle w:val="courier11"/>
        <w:widowControl/>
        <w:rPr>
          <w:rFonts w:ascii="Arial" w:hAnsi="Arial" w:cs="Arial"/>
          <w:szCs w:val="24"/>
        </w:rPr>
      </w:pPr>
    </w:p>
    <w:p w:rsidR="00A333E1" w:rsidRPr="001136A0" w:rsidRDefault="00A333E1" w:rsidP="00A333E1">
      <w:pPr>
        <w:pStyle w:val="courier1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V prípade kataforetického kúpeľa, v ktorom sa používa farba s malým obsahom organických </w:t>
      </w:r>
      <w:r w:rsidRPr="001136A0">
        <w:rPr>
          <w:rFonts w:ascii="Arial" w:hAnsi="Arial" w:cs="Arial"/>
        </w:rPr>
        <w:t>rozpúšťadiel, by sa mali vzťahovať na odsávané plyny z kúpeľa aj vypaľovania EL platné pre linku povrchovej úpravy pre nanášanie náterov na kovy (podľa prílohy č.6 a7 k vyhláške č. 410/2012 Z.z. v znení neskorších predpisov,  ktorou sa vykonávajú niektoré ustanovenia zákona o ovzduší,  na základe spotreby rozpúšťadiel v t za rok (bod 4.3):</w:t>
      </w:r>
    </w:p>
    <w:p w:rsidR="00A333E1" w:rsidRDefault="00A333E1" w:rsidP="00A333E1">
      <w:pPr>
        <w:pStyle w:val="BodyTextIndent21"/>
        <w:spacing w:before="120"/>
        <w:ind w:left="0"/>
        <w:rPr>
          <w:rFonts w:cs="Arial"/>
        </w:rPr>
      </w:pPr>
      <w:r>
        <w:rPr>
          <w:rFonts w:cs="Arial"/>
        </w:rPr>
        <w:t xml:space="preserve"> </w:t>
      </w: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260"/>
        <w:gridCol w:w="1440"/>
        <w:gridCol w:w="1260"/>
        <w:gridCol w:w="1260"/>
      </w:tblGrid>
      <w:tr w:rsidR="00A333E1" w:rsidTr="00083C3B">
        <w:trPr>
          <w:cantSplit/>
        </w:trPr>
        <w:tc>
          <w:tcPr>
            <w:tcW w:w="2160" w:type="dxa"/>
            <w:vMerge w:val="restart"/>
            <w:vAlign w:val="center"/>
          </w:tcPr>
          <w:p w:rsidR="00A333E1" w:rsidRDefault="00A333E1" w:rsidP="00083C3B">
            <w:pPr>
              <w:pStyle w:val="courier11"/>
              <w:spacing w:before="40"/>
              <w:jc w:val="lef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Činnosť</w:t>
            </w:r>
          </w:p>
        </w:tc>
        <w:tc>
          <w:tcPr>
            <w:tcW w:w="1260" w:type="dxa"/>
            <w:vMerge w:val="restart"/>
          </w:tcPr>
          <w:p w:rsidR="00A333E1" w:rsidRDefault="00A333E1" w:rsidP="00083C3B">
            <w:pPr>
              <w:spacing w:before="40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Prahová spotreba</w:t>
            </w:r>
          </w:p>
          <w:p w:rsidR="00A333E1" w:rsidRDefault="00A333E1" w:rsidP="00083C3B">
            <w:pPr>
              <w:pStyle w:val="courier11"/>
              <w:spacing w:before="40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rozpúšťadla</w:t>
            </w:r>
          </w:p>
        </w:tc>
        <w:tc>
          <w:tcPr>
            <w:tcW w:w="3960" w:type="dxa"/>
            <w:gridSpan w:val="3"/>
          </w:tcPr>
          <w:p w:rsidR="00A333E1" w:rsidRDefault="00A333E1" w:rsidP="00083C3B">
            <w:pPr>
              <w:pStyle w:val="courier11"/>
              <w:widowControl/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Emisný limit</w:t>
            </w:r>
          </w:p>
        </w:tc>
      </w:tr>
      <w:tr w:rsidR="00A333E1" w:rsidTr="00083C3B">
        <w:trPr>
          <w:cantSplit/>
        </w:trPr>
        <w:tc>
          <w:tcPr>
            <w:tcW w:w="2160" w:type="dxa"/>
            <w:vMerge/>
          </w:tcPr>
          <w:p w:rsidR="00A333E1" w:rsidRDefault="00A333E1" w:rsidP="00083C3B">
            <w:pPr>
              <w:pStyle w:val="courier11"/>
              <w:widowControl/>
              <w:spacing w:before="4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60" w:type="dxa"/>
            <w:vMerge/>
          </w:tcPr>
          <w:p w:rsidR="00A333E1" w:rsidRDefault="00A333E1" w:rsidP="00083C3B">
            <w:pPr>
              <w:pStyle w:val="courier11"/>
              <w:widowControl/>
              <w:spacing w:before="4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40" w:type="dxa"/>
          </w:tcPr>
          <w:p w:rsidR="00A333E1" w:rsidRDefault="00A333E1" w:rsidP="00083C3B">
            <w:pPr>
              <w:pStyle w:val="courier11"/>
              <w:widowControl/>
              <w:spacing w:before="40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celk. org. uhlíka v odp. plynoch</w:t>
            </w:r>
          </w:p>
        </w:tc>
        <w:tc>
          <w:tcPr>
            <w:tcW w:w="1260" w:type="dxa"/>
          </w:tcPr>
          <w:p w:rsidR="00A333E1" w:rsidRDefault="00A333E1" w:rsidP="00083C3B">
            <w:pPr>
              <w:pStyle w:val="courier11"/>
              <w:widowControl/>
              <w:spacing w:before="40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pre fugitívne emisie</w:t>
            </w:r>
          </w:p>
        </w:tc>
        <w:tc>
          <w:tcPr>
            <w:tcW w:w="1260" w:type="dxa"/>
            <w:vAlign w:val="center"/>
          </w:tcPr>
          <w:p w:rsidR="00A333E1" w:rsidRDefault="00A333E1" w:rsidP="00083C3B">
            <w:pPr>
              <w:pStyle w:val="courier11"/>
              <w:widowControl/>
              <w:spacing w:before="40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Tuhých látok</w:t>
            </w:r>
          </w:p>
        </w:tc>
      </w:tr>
      <w:tr w:rsidR="00A333E1" w:rsidTr="00083C3B">
        <w:trPr>
          <w:cantSplit/>
        </w:trPr>
        <w:tc>
          <w:tcPr>
            <w:tcW w:w="2160" w:type="dxa"/>
            <w:vMerge/>
            <w:tcBorders>
              <w:bottom w:val="double" w:sz="4" w:space="0" w:color="auto"/>
            </w:tcBorders>
          </w:tcPr>
          <w:p w:rsidR="00A333E1" w:rsidRDefault="00A333E1" w:rsidP="00083C3B">
            <w:pPr>
              <w:pStyle w:val="courier11"/>
              <w:widowControl/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A333E1" w:rsidRDefault="00A333E1" w:rsidP="00083C3B">
            <w:pPr>
              <w:pStyle w:val="courier11"/>
              <w:widowControl/>
              <w:spacing w:before="40"/>
              <w:jc w:val="center"/>
              <w:rPr>
                <w:rFonts w:ascii="Arial" w:hAnsi="Arial" w:cs="Arial"/>
                <w:b/>
                <w:bCs/>
                <w:sz w:val="1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t.rok</w:t>
            </w:r>
            <w:r>
              <w:rPr>
                <w:rFonts w:ascii="Arial" w:hAnsi="Arial" w:cs="Arial"/>
                <w:b/>
                <w:bCs/>
                <w:sz w:val="18"/>
                <w:vertAlign w:val="superscript"/>
              </w:rPr>
              <w:t>-1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A333E1" w:rsidRDefault="00A333E1" w:rsidP="00083C3B">
            <w:pPr>
              <w:pStyle w:val="courier11"/>
              <w:widowControl/>
              <w:spacing w:before="40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mg.m</w:t>
            </w:r>
            <w:r>
              <w:rPr>
                <w:rFonts w:ascii="Arial" w:hAnsi="Arial" w:cs="Arial"/>
                <w:b/>
                <w:bCs/>
                <w:sz w:val="18"/>
                <w:vertAlign w:val="superscript"/>
              </w:rPr>
              <w:t>-3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A333E1" w:rsidRDefault="00A333E1" w:rsidP="00083C3B">
            <w:pPr>
              <w:pStyle w:val="courier11"/>
              <w:widowControl/>
              <w:spacing w:before="40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%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A333E1" w:rsidRDefault="00A333E1" w:rsidP="00083C3B">
            <w:pPr>
              <w:pStyle w:val="courier11"/>
              <w:widowControl/>
              <w:spacing w:before="40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mg.m</w:t>
            </w:r>
            <w:r>
              <w:rPr>
                <w:rFonts w:ascii="Arial" w:hAnsi="Arial" w:cs="Arial"/>
                <w:b/>
                <w:bCs/>
                <w:sz w:val="18"/>
                <w:vertAlign w:val="superscript"/>
              </w:rPr>
              <w:t>-3</w:t>
            </w:r>
          </w:p>
        </w:tc>
      </w:tr>
      <w:tr w:rsidR="00A333E1" w:rsidTr="00083C3B">
        <w:trPr>
          <w:cantSplit/>
          <w:trHeight w:val="260"/>
        </w:trPr>
        <w:tc>
          <w:tcPr>
            <w:tcW w:w="2160" w:type="dxa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A333E1" w:rsidRDefault="00A333E1" w:rsidP="00083C3B">
            <w:pPr>
              <w:pStyle w:val="courier11"/>
              <w:widowControl/>
              <w:spacing w:before="4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Nanášanie náterových látok 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</w:tcPr>
          <w:p w:rsidR="00A333E1" w:rsidRDefault="00A333E1" w:rsidP="00083C3B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5 – 15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33E1" w:rsidRDefault="00A333E1" w:rsidP="00083C3B">
            <w:pPr>
              <w:pStyle w:val="courier11"/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33E1" w:rsidRPr="007A39DA" w:rsidRDefault="00A333E1" w:rsidP="00083C3B">
            <w:pPr>
              <w:pStyle w:val="courier11"/>
              <w:spacing w:before="40"/>
              <w:jc w:val="center"/>
              <w:rPr>
                <w:rFonts w:ascii="Arial" w:hAnsi="Arial" w:cs="Arial"/>
                <w:color w:val="FF0000"/>
                <w:sz w:val="18"/>
              </w:rPr>
            </w:pPr>
            <w:r w:rsidRPr="007A39DA">
              <w:rPr>
                <w:rFonts w:ascii="Arial" w:hAnsi="Arial" w:cs="Arial"/>
                <w:color w:val="FF0000"/>
                <w:sz w:val="18"/>
              </w:rPr>
              <w:t>25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33E1" w:rsidRDefault="00A333E1" w:rsidP="00083C3B">
            <w:pPr>
              <w:pStyle w:val="courier11"/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</w:tr>
      <w:tr w:rsidR="00A333E1" w:rsidTr="00083C3B">
        <w:trPr>
          <w:cantSplit/>
        </w:trPr>
        <w:tc>
          <w:tcPr>
            <w:tcW w:w="2160" w:type="dxa"/>
            <w:vMerge/>
          </w:tcPr>
          <w:p w:rsidR="00A333E1" w:rsidRDefault="00A333E1" w:rsidP="00083C3B">
            <w:pPr>
              <w:pStyle w:val="courier11"/>
              <w:widowControl/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</w:tcPr>
          <w:p w:rsidR="00A333E1" w:rsidRDefault="00A333E1" w:rsidP="00083C3B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&gt; 15</w:t>
            </w:r>
          </w:p>
        </w:tc>
        <w:tc>
          <w:tcPr>
            <w:tcW w:w="1440" w:type="dxa"/>
            <w:vAlign w:val="center"/>
          </w:tcPr>
          <w:p w:rsidR="00A333E1" w:rsidRDefault="00A333E1" w:rsidP="00083C3B">
            <w:pPr>
              <w:pStyle w:val="courier11"/>
              <w:widowControl/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50/75</w:t>
            </w:r>
          </w:p>
        </w:tc>
        <w:tc>
          <w:tcPr>
            <w:tcW w:w="1260" w:type="dxa"/>
            <w:vAlign w:val="center"/>
          </w:tcPr>
          <w:p w:rsidR="00A333E1" w:rsidRDefault="00A333E1" w:rsidP="00083C3B">
            <w:pPr>
              <w:pStyle w:val="courier11"/>
              <w:widowControl/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1260" w:type="dxa"/>
            <w:vAlign w:val="center"/>
          </w:tcPr>
          <w:p w:rsidR="00A333E1" w:rsidRDefault="00A333E1" w:rsidP="00083C3B">
            <w:pPr>
              <w:pStyle w:val="courier11"/>
              <w:widowControl/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</w:tr>
      <w:tr w:rsidR="00A333E1" w:rsidTr="00083C3B">
        <w:trPr>
          <w:cantSplit/>
        </w:trPr>
        <w:tc>
          <w:tcPr>
            <w:tcW w:w="2160" w:type="dxa"/>
            <w:tcBorders>
              <w:bottom w:val="double" w:sz="4" w:space="0" w:color="auto"/>
            </w:tcBorders>
          </w:tcPr>
          <w:p w:rsidR="00A333E1" w:rsidRDefault="00A333E1" w:rsidP="00083C3B">
            <w:pPr>
              <w:pStyle w:val="courier11"/>
              <w:widowControl/>
              <w:spacing w:before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Práškové lakovanie vytvrdzovanie 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A333E1" w:rsidRDefault="00A333E1" w:rsidP="00083C3B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A333E1" w:rsidRDefault="00A333E1" w:rsidP="00083C3B">
            <w:pPr>
              <w:pStyle w:val="courier11"/>
              <w:widowControl/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A333E1" w:rsidRDefault="00A333E1" w:rsidP="00083C3B">
            <w:pPr>
              <w:pStyle w:val="courier11"/>
              <w:widowControl/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A333E1" w:rsidRPr="002A4474" w:rsidRDefault="00A333E1" w:rsidP="00083C3B">
            <w:pPr>
              <w:pStyle w:val="courier11"/>
              <w:widowControl/>
              <w:spacing w:before="40"/>
              <w:jc w:val="center"/>
              <w:rPr>
                <w:rFonts w:ascii="Arial" w:hAnsi="Arial" w:cs="Arial"/>
                <w:sz w:val="18"/>
              </w:rPr>
            </w:pPr>
            <w:r w:rsidRPr="002A4474">
              <w:rPr>
                <w:rFonts w:ascii="Arial" w:hAnsi="Arial" w:cs="Arial"/>
                <w:sz w:val="18"/>
              </w:rPr>
              <w:t>15</w:t>
            </w:r>
          </w:p>
        </w:tc>
      </w:tr>
    </w:tbl>
    <w:p w:rsidR="00A333E1" w:rsidRPr="007A39DA" w:rsidRDefault="00A333E1" w:rsidP="00A333E1">
      <w:pPr>
        <w:pStyle w:val="BodyTextIndent21"/>
        <w:ind w:firstLine="708"/>
        <w:rPr>
          <w:color w:val="FF0000"/>
          <w:sz w:val="16"/>
        </w:rPr>
      </w:pPr>
      <w:r>
        <w:rPr>
          <w:color w:val="FF0000"/>
          <w:sz w:val="16"/>
        </w:rPr>
        <w:t xml:space="preserve">Podmienky platnosti: </w:t>
      </w:r>
      <w:bookmarkStart w:id="1" w:name="_Hlk512503528"/>
      <w:r w:rsidRPr="007A39DA">
        <w:rPr>
          <w:color w:val="FF0000"/>
          <w:sz w:val="16"/>
        </w:rPr>
        <w:t>vlhký plyn, štandardné stavové podmienky</w:t>
      </w:r>
      <w:bookmarkEnd w:id="1"/>
    </w:p>
    <w:p w:rsidR="00A333E1" w:rsidRDefault="00A333E1" w:rsidP="00A333E1">
      <w:pPr>
        <w:pStyle w:val="Obyajntext"/>
        <w:jc w:val="both"/>
        <w:rPr>
          <w:rFonts w:ascii="Arial" w:hAnsi="Arial" w:cs="Arial"/>
          <w:sz w:val="22"/>
        </w:rPr>
      </w:pPr>
    </w:p>
    <w:p w:rsidR="00A333E1" w:rsidRPr="001136A0" w:rsidRDefault="00A333E1" w:rsidP="00A333E1">
      <w:pPr>
        <w:pStyle w:val="Obyajntex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 tabuľky je vidieť, že pri spotrebe rozpúšťadiel 2,221 t za rok t.z. do 5 t nie sú emisné limity určené a všeobecne je určená povinnosť používať tzv. regulované výrobky. V danom prípade KTL náterového systému pri obsahu rozpúšťadiel do 2 % v pigmente a spojovacej živici je </w:t>
      </w:r>
      <w:r w:rsidRPr="001136A0">
        <w:rPr>
          <w:rFonts w:ascii="Arial" w:hAnsi="Arial" w:cs="Arial"/>
          <w:sz w:val="22"/>
        </w:rPr>
        <w:t xml:space="preserve">zrejmé, že hraničné hodnoty pre maximálny obsah VOC v stave, v ktorom je regulovaný výrobok pripravený na použitie budú dodržané (podľa vyhlášky č.127/2011 Z.z., ktorou sa ustanovuje zoznam regulovaných výrobkov, označovanie ich obalov a požiadavky na obmedzenie emisií prchavých organických zlúčením pri používaní organických rozpúšťadiel v regulovaných výrobkoch). K tejto problematike chcem uviesť niekoľko poznámok.   </w:t>
      </w:r>
    </w:p>
    <w:p w:rsidR="00A333E1" w:rsidRPr="001136A0" w:rsidRDefault="00A333E1" w:rsidP="00A333E1">
      <w:pPr>
        <w:pStyle w:val="Obyajntext"/>
        <w:jc w:val="both"/>
        <w:rPr>
          <w:rFonts w:ascii="Arial" w:hAnsi="Arial" w:cs="Arial"/>
          <w:sz w:val="22"/>
        </w:rPr>
      </w:pPr>
    </w:p>
    <w:p w:rsidR="00A333E1" w:rsidRDefault="00A333E1" w:rsidP="00A333E1">
      <w:pPr>
        <w:pStyle w:val="Obyajntex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prípade kataforetického nanášania sa na povrchovú úpravu výrobkov použije vo vode rozpustná epoxidová farba, ktorá sa nanáša na povrch pomocou vonkajšieho jednosmer-ného napätia. Tento spôsob nanášania umožňuje chemický charakter epoxidovej hmoty, ktorá sa chová v elektrickom poli ako katión. Aniónom je zbytok kyseliny octovej (anión), rozpúšťadlom je voda s malým obsahom organických rozpúšťadiel (butoxyetanol, hexyloxy-etanol, butoxypropanol). Pri kataforéznom procese sa na povrchu kovu vylučuje katión farby po reakcii s hydroxylovou skupinou, vzniknutou rozkladom vody. Súčasne sa vylúči aj zodpovedajúce množstvo kyseliny octovej, ktorá sa odvádza odpadovými plynmi spolu s veľmi malým množstvom rozpúšťadiel. Nakoľko plyny z KTL kúpeľa aj z vypaľovacej pece sa budú odvádzať výduchmi do ovzdušia bez obmedzovania bude prospešné v oboch prúdoch odpadových plynov zisťovať a dodržiavať emisný limit pre kyselinu octovú. </w:t>
      </w:r>
    </w:p>
    <w:p w:rsidR="00A333E1" w:rsidRDefault="00A333E1" w:rsidP="00A333E1">
      <w:pPr>
        <w:pStyle w:val="Obyajntext"/>
        <w:jc w:val="both"/>
        <w:rPr>
          <w:rFonts w:ascii="Arial" w:hAnsi="Arial" w:cs="Arial"/>
          <w:sz w:val="22"/>
        </w:rPr>
      </w:pPr>
    </w:p>
    <w:p w:rsidR="00A333E1" w:rsidRPr="001136A0" w:rsidRDefault="00A333E1" w:rsidP="00A333E1">
      <w:pPr>
        <w:pStyle w:val="Obyajntext"/>
        <w:jc w:val="both"/>
        <w:rPr>
          <w:rFonts w:ascii="Arial" w:hAnsi="Arial" w:cs="Arial"/>
          <w:sz w:val="22"/>
        </w:rPr>
      </w:pPr>
      <w:r w:rsidRPr="001136A0">
        <w:rPr>
          <w:rFonts w:ascii="Arial" w:hAnsi="Arial" w:cs="Arial"/>
          <w:b/>
          <w:bCs/>
          <w:sz w:val="22"/>
        </w:rPr>
        <w:t>Kyselina octová</w:t>
      </w:r>
      <w:r w:rsidRPr="001136A0">
        <w:rPr>
          <w:rFonts w:ascii="Arial" w:hAnsi="Arial" w:cs="Arial"/>
          <w:sz w:val="22"/>
        </w:rPr>
        <w:t xml:space="preserve"> je zaradená do 4. skupiny 2. podskupiny – organické plyny a pary – pre ktorú platí limit (príloha č. 3 k vyhláške č.410/2012, časť I. časť): </w:t>
      </w:r>
    </w:p>
    <w:p w:rsidR="00A333E1" w:rsidRPr="001136A0" w:rsidRDefault="00A333E1" w:rsidP="00A333E1">
      <w:pPr>
        <w:pStyle w:val="Obyajntext"/>
        <w:jc w:val="both"/>
        <w:rPr>
          <w:rFonts w:ascii="Arial" w:hAnsi="Arial" w:cs="Arial"/>
          <w:sz w:val="22"/>
        </w:rPr>
      </w:pPr>
      <w:r w:rsidRPr="001136A0">
        <w:rPr>
          <w:rFonts w:ascii="Arial" w:hAnsi="Arial" w:cs="Arial"/>
          <w:sz w:val="22"/>
        </w:rPr>
        <w:t>Pri hmotnostnom toku vyššom ako 500 g.h</w:t>
      </w:r>
      <w:r w:rsidRPr="001136A0">
        <w:rPr>
          <w:rFonts w:ascii="Arial" w:hAnsi="Arial" w:cs="Arial"/>
          <w:sz w:val="22"/>
          <w:vertAlign w:val="superscript"/>
        </w:rPr>
        <w:t>-1</w:t>
      </w:r>
      <w:r w:rsidRPr="001136A0">
        <w:rPr>
          <w:rFonts w:ascii="Arial" w:hAnsi="Arial" w:cs="Arial"/>
          <w:sz w:val="22"/>
        </w:rPr>
        <w:t xml:space="preserve"> nesmie celková koncentrácia látok 2. podskupiny v odpadovom plyne prekročiť hodnotu 100 mg.m</w:t>
      </w:r>
      <w:r w:rsidRPr="001136A0">
        <w:rPr>
          <w:rFonts w:ascii="Arial" w:hAnsi="Arial" w:cs="Arial"/>
          <w:sz w:val="22"/>
          <w:vertAlign w:val="superscript"/>
        </w:rPr>
        <w:t>-3</w:t>
      </w:r>
      <w:r w:rsidRPr="001136A0">
        <w:rPr>
          <w:rFonts w:ascii="Arial" w:hAnsi="Arial" w:cs="Arial"/>
          <w:sz w:val="22"/>
        </w:rPr>
        <w:t>.</w:t>
      </w:r>
    </w:p>
    <w:p w:rsidR="00A333E1" w:rsidRPr="001136A0" w:rsidRDefault="00A333E1" w:rsidP="00A333E1">
      <w:pPr>
        <w:pStyle w:val="Obyajntext"/>
        <w:jc w:val="both"/>
        <w:rPr>
          <w:rFonts w:ascii="Arial" w:hAnsi="Arial" w:cs="Arial"/>
          <w:sz w:val="22"/>
        </w:rPr>
      </w:pPr>
    </w:p>
    <w:p w:rsidR="00A333E1" w:rsidRPr="001136A0" w:rsidRDefault="00A333E1" w:rsidP="00A333E1">
      <w:pPr>
        <w:pStyle w:val="Obyajntext"/>
        <w:jc w:val="both"/>
        <w:rPr>
          <w:rFonts w:ascii="Arial" w:hAnsi="Arial" w:cs="Arial"/>
          <w:sz w:val="22"/>
        </w:rPr>
      </w:pPr>
      <w:r w:rsidRPr="001136A0">
        <w:rPr>
          <w:rFonts w:ascii="Arial" w:hAnsi="Arial" w:cs="Arial"/>
          <w:sz w:val="22"/>
        </w:rPr>
        <w:t>Vo vyššieuvedenej tabuľke je uvedený emisný limit pre práškové nanášanie farieb, ktorý je 50 mg ΣC.m</w:t>
      </w:r>
      <w:r w:rsidRPr="001136A0">
        <w:rPr>
          <w:rFonts w:ascii="Arial" w:hAnsi="Arial" w:cs="Arial"/>
          <w:sz w:val="22"/>
          <w:vertAlign w:val="superscript"/>
        </w:rPr>
        <w:t>-3</w:t>
      </w:r>
      <w:r w:rsidRPr="001136A0">
        <w:rPr>
          <w:rFonts w:ascii="Arial" w:hAnsi="Arial" w:cs="Arial"/>
          <w:sz w:val="22"/>
        </w:rPr>
        <w:t xml:space="preserve"> a 15 </w:t>
      </w:r>
      <w:bookmarkStart w:id="2" w:name="_Hlk512504270"/>
      <w:r w:rsidRPr="001136A0">
        <w:rPr>
          <w:rFonts w:ascii="Arial" w:hAnsi="Arial" w:cs="Arial"/>
          <w:sz w:val="22"/>
        </w:rPr>
        <w:t>mg.m</w:t>
      </w:r>
      <w:r w:rsidRPr="001136A0">
        <w:rPr>
          <w:rFonts w:ascii="Arial" w:hAnsi="Arial" w:cs="Arial"/>
          <w:sz w:val="22"/>
          <w:vertAlign w:val="superscript"/>
        </w:rPr>
        <w:t>-3</w:t>
      </w:r>
      <w:r w:rsidRPr="001136A0">
        <w:rPr>
          <w:rFonts w:ascii="Arial" w:hAnsi="Arial" w:cs="Arial"/>
          <w:sz w:val="22"/>
        </w:rPr>
        <w:t xml:space="preserve"> </w:t>
      </w:r>
      <w:bookmarkEnd w:id="2"/>
      <w:r w:rsidRPr="001136A0">
        <w:rPr>
          <w:rFonts w:ascii="Arial" w:hAnsi="Arial" w:cs="Arial"/>
          <w:sz w:val="22"/>
        </w:rPr>
        <w:t xml:space="preserve">tuhých látok.   </w:t>
      </w:r>
    </w:p>
    <w:p w:rsidR="00A333E1" w:rsidRPr="001136A0" w:rsidRDefault="00A333E1" w:rsidP="00A333E1">
      <w:pPr>
        <w:pStyle w:val="Obyajntext"/>
        <w:jc w:val="both"/>
        <w:rPr>
          <w:rFonts w:ascii="Arial" w:hAnsi="Arial" w:cs="Arial"/>
          <w:sz w:val="22"/>
        </w:rPr>
      </w:pPr>
    </w:p>
    <w:p w:rsidR="00A333E1" w:rsidRPr="001136A0" w:rsidRDefault="00A333E1" w:rsidP="00A333E1">
      <w:pPr>
        <w:pStyle w:val="Zarkazkladnhotextu2"/>
        <w:ind w:left="0"/>
        <w:rPr>
          <w:rFonts w:ascii="Arial" w:hAnsi="Arial"/>
          <w:strike/>
          <w:sz w:val="22"/>
        </w:rPr>
      </w:pPr>
    </w:p>
    <w:p w:rsidR="00A333E1" w:rsidRPr="001136A0" w:rsidRDefault="00A333E1" w:rsidP="00A333E1">
      <w:pPr>
        <w:pStyle w:val="Obyajntext"/>
        <w:jc w:val="both"/>
        <w:rPr>
          <w:rFonts w:ascii="Arial" w:hAnsi="Arial" w:cs="Arial"/>
          <w:sz w:val="22"/>
        </w:rPr>
      </w:pPr>
      <w:r w:rsidRPr="001136A0">
        <w:rPr>
          <w:rFonts w:ascii="Arial" w:hAnsi="Arial" w:cs="Arial"/>
          <w:sz w:val="22"/>
        </w:rPr>
        <w:t>Vyhrievanie technologických zariadení bude zabezpečené nasledovne:</w:t>
      </w:r>
    </w:p>
    <w:p w:rsidR="00A333E1" w:rsidRPr="001136A0" w:rsidRDefault="00A333E1" w:rsidP="00A333E1">
      <w:pPr>
        <w:pStyle w:val="Obyajntext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bookmarkStart w:id="3" w:name="_Hlk512505133"/>
      <w:r w:rsidRPr="001136A0">
        <w:rPr>
          <w:rFonts w:ascii="Arial" w:hAnsi="Arial" w:cs="Arial"/>
          <w:sz w:val="22"/>
        </w:rPr>
        <w:t>ohrevy roztokov – 2 ks kotlov s príkonom 2 x 1 099 = 2 198 kW (výkon 2 x 1 000 kW) : nepriamy ohrev</w:t>
      </w:r>
    </w:p>
    <w:p w:rsidR="00A333E1" w:rsidRPr="001136A0" w:rsidRDefault="00A333E1" w:rsidP="00A333E1">
      <w:pPr>
        <w:pStyle w:val="Obyajntext"/>
        <w:ind w:left="720"/>
        <w:jc w:val="both"/>
        <w:rPr>
          <w:rFonts w:ascii="Arial" w:hAnsi="Arial" w:cs="Arial"/>
          <w:sz w:val="22"/>
        </w:rPr>
      </w:pPr>
      <w:bookmarkStart w:id="4" w:name="_Hlk512504457"/>
      <w:r w:rsidRPr="001136A0">
        <w:rPr>
          <w:rFonts w:ascii="Arial" w:hAnsi="Arial" w:cs="Arial"/>
          <w:sz w:val="22"/>
        </w:rPr>
        <w:t>Emisný limit: príloha č. 4, časť IV, bod 2.2B, palivo ZPN:</w:t>
      </w:r>
    </w:p>
    <w:p w:rsidR="00A333E1" w:rsidRPr="001136A0" w:rsidRDefault="00A333E1" w:rsidP="00A333E1">
      <w:pPr>
        <w:pStyle w:val="Obyajntext"/>
        <w:ind w:left="720"/>
        <w:jc w:val="both"/>
        <w:rPr>
          <w:rFonts w:ascii="Arial" w:hAnsi="Arial" w:cs="Arial"/>
          <w:sz w:val="22"/>
        </w:rPr>
      </w:pPr>
      <w:r w:rsidRPr="001136A0">
        <w:rPr>
          <w:rFonts w:ascii="Arial" w:hAnsi="Arial" w:cs="Arial"/>
          <w:sz w:val="22"/>
        </w:rPr>
        <w:t>NO</w:t>
      </w:r>
      <w:r w:rsidRPr="001136A0">
        <w:rPr>
          <w:rFonts w:ascii="Arial" w:hAnsi="Arial" w:cs="Arial"/>
          <w:sz w:val="22"/>
          <w:vertAlign w:val="subscript"/>
        </w:rPr>
        <w:t>x</w:t>
      </w:r>
      <w:r w:rsidRPr="001136A0">
        <w:rPr>
          <w:rFonts w:ascii="Arial" w:hAnsi="Arial" w:cs="Arial"/>
          <w:sz w:val="22"/>
        </w:rPr>
        <w:t xml:space="preserve">: 100 </w:t>
      </w:r>
      <w:r w:rsidRPr="001136A0">
        <w:t xml:space="preserve"> </w:t>
      </w:r>
      <w:bookmarkStart w:id="5" w:name="_Hlk512504777"/>
      <w:r w:rsidRPr="001136A0">
        <w:rPr>
          <w:rFonts w:ascii="Arial" w:hAnsi="Arial" w:cs="Arial"/>
          <w:sz w:val="22"/>
        </w:rPr>
        <w:t>mg.m</w:t>
      </w:r>
      <w:r w:rsidRPr="001136A0">
        <w:rPr>
          <w:rFonts w:ascii="Arial" w:hAnsi="Arial" w:cs="Arial"/>
          <w:sz w:val="22"/>
          <w:vertAlign w:val="superscript"/>
        </w:rPr>
        <w:t>-3</w:t>
      </w:r>
      <w:bookmarkEnd w:id="5"/>
    </w:p>
    <w:p w:rsidR="00A333E1" w:rsidRPr="001136A0" w:rsidRDefault="00A333E1" w:rsidP="00A333E1">
      <w:pPr>
        <w:pStyle w:val="Obyajntext"/>
        <w:ind w:left="720"/>
        <w:jc w:val="both"/>
        <w:rPr>
          <w:rFonts w:ascii="Arial" w:hAnsi="Arial" w:cs="Arial"/>
          <w:sz w:val="22"/>
        </w:rPr>
      </w:pPr>
      <w:r w:rsidRPr="001136A0">
        <w:rPr>
          <w:rFonts w:ascii="Arial" w:hAnsi="Arial" w:cs="Arial"/>
          <w:sz w:val="22"/>
        </w:rPr>
        <w:t>CO: 50 mg.m</w:t>
      </w:r>
      <w:r w:rsidRPr="001136A0">
        <w:rPr>
          <w:rFonts w:ascii="Arial" w:hAnsi="Arial" w:cs="Arial"/>
          <w:sz w:val="22"/>
          <w:vertAlign w:val="superscript"/>
        </w:rPr>
        <w:t>-3</w:t>
      </w:r>
    </w:p>
    <w:p w:rsidR="00A333E1" w:rsidRPr="001136A0" w:rsidRDefault="00A333E1" w:rsidP="00A333E1">
      <w:pPr>
        <w:pStyle w:val="Obyajntext"/>
        <w:ind w:left="720"/>
        <w:jc w:val="both"/>
        <w:rPr>
          <w:rFonts w:ascii="Arial" w:hAnsi="Arial" w:cs="Arial"/>
          <w:sz w:val="22"/>
        </w:rPr>
      </w:pPr>
      <w:bookmarkStart w:id="6" w:name="_Hlk512506782"/>
      <w:r w:rsidRPr="001136A0">
        <w:rPr>
          <w:rFonts w:ascii="Arial" w:hAnsi="Arial" w:cs="Arial"/>
          <w:sz w:val="22"/>
        </w:rPr>
        <w:t>Podmienky platnosti: suchý plyn, štandardné stavové podmienky, O</w:t>
      </w:r>
      <w:r w:rsidRPr="001136A0">
        <w:rPr>
          <w:rFonts w:ascii="Arial" w:hAnsi="Arial" w:cs="Arial"/>
          <w:sz w:val="22"/>
          <w:vertAlign w:val="subscript"/>
        </w:rPr>
        <w:t>2ref</w:t>
      </w:r>
      <w:r w:rsidRPr="001136A0">
        <w:rPr>
          <w:rFonts w:ascii="Arial" w:hAnsi="Arial" w:cs="Arial"/>
          <w:sz w:val="22"/>
        </w:rPr>
        <w:t>: 3% objemu</w:t>
      </w:r>
    </w:p>
    <w:p w:rsidR="00A333E1" w:rsidRPr="001136A0" w:rsidRDefault="00A333E1" w:rsidP="00A333E1">
      <w:pPr>
        <w:pStyle w:val="Obyajntext"/>
        <w:ind w:left="720"/>
        <w:jc w:val="both"/>
        <w:rPr>
          <w:rFonts w:ascii="Arial" w:hAnsi="Arial" w:cs="Arial"/>
          <w:sz w:val="22"/>
        </w:rPr>
      </w:pPr>
    </w:p>
    <w:bookmarkEnd w:id="3"/>
    <w:bookmarkEnd w:id="4"/>
    <w:bookmarkEnd w:id="6"/>
    <w:p w:rsidR="00A333E1" w:rsidRPr="001136A0" w:rsidRDefault="00A333E1" w:rsidP="00A333E1">
      <w:pPr>
        <w:pStyle w:val="Obyajntext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1136A0">
        <w:rPr>
          <w:rFonts w:ascii="Arial" w:hAnsi="Arial" w:cs="Arial"/>
          <w:sz w:val="22"/>
        </w:rPr>
        <w:t>ohrev vzduchu pre vypaľovanie po KTL lakovaní – 659 kW (výkon 600 kW) – priamy ohrev:</w:t>
      </w:r>
    </w:p>
    <w:p w:rsidR="00A333E1" w:rsidRPr="001136A0" w:rsidRDefault="00A333E1" w:rsidP="00A333E1">
      <w:pPr>
        <w:pStyle w:val="Obyajntext"/>
        <w:ind w:left="720"/>
        <w:jc w:val="both"/>
        <w:rPr>
          <w:rFonts w:ascii="Arial" w:hAnsi="Arial" w:cs="Arial"/>
          <w:sz w:val="22"/>
        </w:rPr>
      </w:pPr>
      <w:bookmarkStart w:id="7" w:name="_Hlk512504875"/>
      <w:r w:rsidRPr="001136A0">
        <w:rPr>
          <w:rFonts w:ascii="Arial" w:hAnsi="Arial" w:cs="Arial"/>
          <w:sz w:val="22"/>
        </w:rPr>
        <w:t>Emisný limit: príloha č. 4, časť V, bod 3 – zariadenia s kotlami s vydaným povolením od 1.1.2014, palivo ZPN:</w:t>
      </w:r>
      <w:bookmarkEnd w:id="7"/>
    </w:p>
    <w:p w:rsidR="00A333E1" w:rsidRPr="001136A0" w:rsidRDefault="00A333E1" w:rsidP="00A333E1">
      <w:pPr>
        <w:pStyle w:val="Obyajntext"/>
        <w:ind w:left="720"/>
        <w:jc w:val="both"/>
        <w:rPr>
          <w:rFonts w:ascii="Arial" w:hAnsi="Arial" w:cs="Arial"/>
          <w:sz w:val="22"/>
        </w:rPr>
      </w:pPr>
      <w:r w:rsidRPr="001136A0">
        <w:rPr>
          <w:rFonts w:ascii="Arial" w:hAnsi="Arial" w:cs="Arial"/>
          <w:sz w:val="22"/>
          <w:u w:val="single"/>
        </w:rPr>
        <w:t>NOx:</w:t>
      </w:r>
      <w:r w:rsidRPr="001136A0">
        <w:rPr>
          <w:rFonts w:ascii="Arial" w:hAnsi="Arial" w:cs="Arial"/>
          <w:sz w:val="22"/>
        </w:rPr>
        <w:t xml:space="preserve"> - závisí len od paliva: Emisný limit: príloha č. 4, časť V, </w:t>
      </w:r>
      <w:bookmarkStart w:id="8" w:name="_Hlk512505176"/>
      <w:r w:rsidRPr="001136A0">
        <w:rPr>
          <w:rFonts w:ascii="Arial" w:hAnsi="Arial" w:cs="Arial"/>
          <w:sz w:val="22"/>
        </w:rPr>
        <w:t>bod 3 – zariadenia s kotlami s vydaným povolením od 1.1.2014</w:t>
      </w:r>
      <w:bookmarkEnd w:id="8"/>
      <w:r w:rsidRPr="001136A0">
        <w:rPr>
          <w:rFonts w:ascii="Arial" w:hAnsi="Arial" w:cs="Arial"/>
          <w:sz w:val="22"/>
        </w:rPr>
        <w:t>, palivo ZPN:</w:t>
      </w:r>
    </w:p>
    <w:p w:rsidR="00A333E1" w:rsidRPr="001136A0" w:rsidRDefault="00A333E1" w:rsidP="00A333E1">
      <w:pPr>
        <w:pStyle w:val="Obyajntext"/>
        <w:ind w:left="720"/>
        <w:jc w:val="both"/>
        <w:rPr>
          <w:rFonts w:ascii="Arial" w:hAnsi="Arial" w:cs="Arial"/>
          <w:sz w:val="22"/>
        </w:rPr>
      </w:pPr>
      <w:bookmarkStart w:id="9" w:name="_Hlk512505244"/>
      <w:r w:rsidRPr="001136A0">
        <w:rPr>
          <w:rFonts w:ascii="Arial" w:hAnsi="Arial" w:cs="Arial"/>
          <w:sz w:val="22"/>
        </w:rPr>
        <w:t>120   mg.m</w:t>
      </w:r>
      <w:r w:rsidRPr="001136A0">
        <w:rPr>
          <w:rFonts w:ascii="Arial" w:hAnsi="Arial" w:cs="Arial"/>
          <w:sz w:val="22"/>
          <w:vertAlign w:val="superscript"/>
        </w:rPr>
        <w:t>-3</w:t>
      </w:r>
      <w:r w:rsidRPr="001136A0">
        <w:rPr>
          <w:rFonts w:ascii="Arial" w:hAnsi="Arial" w:cs="Arial"/>
          <w:sz w:val="22"/>
        </w:rPr>
        <w:t xml:space="preserve"> (pretlakové horáky s teplotou teplonosného média do 200°C</w:t>
      </w:r>
      <w:bookmarkEnd w:id="9"/>
    </w:p>
    <w:p w:rsidR="00A333E1" w:rsidRPr="001136A0" w:rsidRDefault="00A333E1" w:rsidP="00A333E1">
      <w:pPr>
        <w:pStyle w:val="Obyajntext"/>
        <w:ind w:left="720"/>
        <w:jc w:val="both"/>
        <w:rPr>
          <w:rFonts w:ascii="Arial" w:hAnsi="Arial" w:cs="Arial"/>
          <w:sz w:val="22"/>
        </w:rPr>
      </w:pPr>
      <w:r w:rsidRPr="001136A0">
        <w:rPr>
          <w:rFonts w:ascii="Arial" w:hAnsi="Arial" w:cs="Arial"/>
          <w:sz w:val="22"/>
          <w:u w:val="single"/>
        </w:rPr>
        <w:t>CO:</w:t>
      </w:r>
      <w:r w:rsidRPr="001136A0">
        <w:rPr>
          <w:rFonts w:ascii="Arial" w:hAnsi="Arial" w:cs="Arial"/>
          <w:sz w:val="22"/>
        </w:rPr>
        <w:t xml:space="preserve"> príl. č. 7, časť II. bod A1.3: 500 mg.m</w:t>
      </w:r>
      <w:r w:rsidRPr="001136A0">
        <w:rPr>
          <w:rFonts w:ascii="Arial" w:hAnsi="Arial" w:cs="Arial"/>
          <w:sz w:val="22"/>
          <w:vertAlign w:val="superscript"/>
        </w:rPr>
        <w:t>-3</w:t>
      </w:r>
    </w:p>
    <w:p w:rsidR="00A333E1" w:rsidRPr="001136A0" w:rsidRDefault="00A333E1" w:rsidP="00A333E1">
      <w:pPr>
        <w:pStyle w:val="Obyajntext"/>
        <w:ind w:left="720"/>
        <w:jc w:val="both"/>
        <w:rPr>
          <w:rFonts w:ascii="Arial" w:hAnsi="Arial" w:cs="Arial"/>
          <w:sz w:val="22"/>
        </w:rPr>
      </w:pPr>
      <w:r w:rsidRPr="001136A0">
        <w:rPr>
          <w:rFonts w:ascii="Arial" w:hAnsi="Arial" w:cs="Arial"/>
          <w:sz w:val="22"/>
        </w:rPr>
        <w:t>Podmienky platnosti: suchý plyn, štandardné stavové podmienky, O2ref: 17% objemu</w:t>
      </w:r>
    </w:p>
    <w:p w:rsidR="00A333E1" w:rsidRPr="001136A0" w:rsidRDefault="00A333E1" w:rsidP="00A333E1">
      <w:pPr>
        <w:pStyle w:val="Obyajntext"/>
        <w:ind w:left="720"/>
        <w:jc w:val="both"/>
        <w:rPr>
          <w:rFonts w:ascii="Arial" w:hAnsi="Arial" w:cs="Arial"/>
          <w:sz w:val="22"/>
        </w:rPr>
      </w:pPr>
    </w:p>
    <w:p w:rsidR="00A333E1" w:rsidRPr="001136A0" w:rsidRDefault="00A333E1" w:rsidP="00A333E1">
      <w:pPr>
        <w:pStyle w:val="Obyajntext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1136A0">
        <w:rPr>
          <w:rFonts w:ascii="Arial" w:hAnsi="Arial" w:cs="Arial"/>
          <w:sz w:val="22"/>
        </w:rPr>
        <w:t>ohrev vzduchu po nanesení práškovej farby – 659 kW (výkon 600 kW) – nepriamy ohrev:</w:t>
      </w:r>
    </w:p>
    <w:p w:rsidR="00A333E1" w:rsidRPr="001136A0" w:rsidRDefault="00A333E1" w:rsidP="00A333E1">
      <w:pPr>
        <w:pStyle w:val="Obyajntext"/>
        <w:ind w:left="720"/>
        <w:jc w:val="both"/>
        <w:rPr>
          <w:rFonts w:ascii="Arial" w:hAnsi="Arial" w:cs="Arial"/>
          <w:sz w:val="22"/>
        </w:rPr>
      </w:pPr>
      <w:r w:rsidRPr="001136A0">
        <w:rPr>
          <w:rFonts w:ascii="Arial" w:hAnsi="Arial" w:cs="Arial"/>
          <w:sz w:val="22"/>
        </w:rPr>
        <w:t>Emisný limit: príloha č. 4, časť V, bod 3 – zariadenia s kotlami s vydaným povolením od 1.1.2014, palivo ZPN:</w:t>
      </w:r>
    </w:p>
    <w:p w:rsidR="00A333E1" w:rsidRPr="001136A0" w:rsidRDefault="00A333E1" w:rsidP="00A333E1">
      <w:pPr>
        <w:pStyle w:val="Obyajntext"/>
        <w:ind w:left="720"/>
        <w:jc w:val="both"/>
        <w:rPr>
          <w:rFonts w:ascii="Arial" w:hAnsi="Arial" w:cs="Arial"/>
          <w:sz w:val="22"/>
        </w:rPr>
      </w:pPr>
      <w:r w:rsidRPr="001136A0">
        <w:rPr>
          <w:rFonts w:ascii="Arial" w:hAnsi="Arial" w:cs="Arial"/>
          <w:sz w:val="22"/>
        </w:rPr>
        <w:t>NO</w:t>
      </w:r>
      <w:r w:rsidRPr="001136A0">
        <w:rPr>
          <w:rFonts w:ascii="Arial" w:hAnsi="Arial" w:cs="Arial"/>
          <w:sz w:val="22"/>
          <w:vertAlign w:val="subscript"/>
        </w:rPr>
        <w:t>x</w:t>
      </w:r>
      <w:r w:rsidRPr="001136A0">
        <w:rPr>
          <w:rFonts w:ascii="Arial" w:hAnsi="Arial" w:cs="Arial"/>
          <w:sz w:val="22"/>
        </w:rPr>
        <w:t>: 120   mg.m</w:t>
      </w:r>
      <w:r w:rsidRPr="001136A0">
        <w:rPr>
          <w:rFonts w:ascii="Arial" w:hAnsi="Arial" w:cs="Arial"/>
          <w:sz w:val="22"/>
          <w:vertAlign w:val="superscript"/>
        </w:rPr>
        <w:t>-3</w:t>
      </w:r>
      <w:r w:rsidRPr="001136A0">
        <w:rPr>
          <w:rFonts w:ascii="Arial" w:hAnsi="Arial" w:cs="Arial"/>
          <w:sz w:val="22"/>
        </w:rPr>
        <w:t xml:space="preserve"> (pretlakové horáky </w:t>
      </w:r>
      <w:r w:rsidRPr="001136A0">
        <w:rPr>
          <w:rFonts w:ascii="Arial" w:hAnsi="Arial" w:cs="Arial"/>
          <w:sz w:val="22"/>
          <w:highlight w:val="yellow"/>
        </w:rPr>
        <w:t>s teplotou teplonosného média do 200°C</w:t>
      </w:r>
      <w:r w:rsidRPr="001136A0">
        <w:rPr>
          <w:rFonts w:ascii="Arial" w:hAnsi="Arial" w:cs="Arial"/>
          <w:sz w:val="22"/>
        </w:rPr>
        <w:t xml:space="preserve"> </w:t>
      </w:r>
    </w:p>
    <w:p w:rsidR="00A333E1" w:rsidRPr="001136A0" w:rsidRDefault="00A333E1" w:rsidP="00A333E1">
      <w:pPr>
        <w:pStyle w:val="Obyajntext"/>
        <w:ind w:left="720"/>
        <w:jc w:val="both"/>
        <w:rPr>
          <w:rFonts w:ascii="Arial" w:hAnsi="Arial" w:cs="Arial"/>
          <w:sz w:val="22"/>
        </w:rPr>
      </w:pPr>
      <w:r w:rsidRPr="001136A0">
        <w:rPr>
          <w:rFonts w:ascii="Arial" w:hAnsi="Arial" w:cs="Arial"/>
          <w:sz w:val="22"/>
        </w:rPr>
        <w:t>CO: 50 mg.m</w:t>
      </w:r>
      <w:r w:rsidRPr="001136A0">
        <w:rPr>
          <w:rFonts w:ascii="Arial" w:hAnsi="Arial" w:cs="Arial"/>
          <w:sz w:val="22"/>
          <w:vertAlign w:val="superscript"/>
        </w:rPr>
        <w:t>-3</w:t>
      </w:r>
    </w:p>
    <w:p w:rsidR="00A333E1" w:rsidRPr="001136A0" w:rsidRDefault="00A333E1" w:rsidP="00A333E1">
      <w:pPr>
        <w:pStyle w:val="Obyajntext"/>
        <w:ind w:left="720"/>
        <w:jc w:val="both"/>
        <w:rPr>
          <w:rFonts w:ascii="Arial" w:hAnsi="Arial" w:cs="Arial"/>
          <w:sz w:val="22"/>
        </w:rPr>
      </w:pPr>
      <w:r w:rsidRPr="001136A0">
        <w:rPr>
          <w:rFonts w:ascii="Arial" w:hAnsi="Arial" w:cs="Arial"/>
          <w:sz w:val="22"/>
        </w:rPr>
        <w:t>Podmienky platnosti: suchý plyn, štandardné stavové podmienky, O</w:t>
      </w:r>
      <w:r w:rsidRPr="001136A0">
        <w:rPr>
          <w:rFonts w:ascii="Arial" w:hAnsi="Arial" w:cs="Arial"/>
          <w:sz w:val="22"/>
          <w:vertAlign w:val="subscript"/>
        </w:rPr>
        <w:t>2ref</w:t>
      </w:r>
      <w:r w:rsidRPr="001136A0">
        <w:rPr>
          <w:rFonts w:ascii="Arial" w:hAnsi="Arial" w:cs="Arial"/>
          <w:sz w:val="22"/>
        </w:rPr>
        <w:t>: 3% objemu</w:t>
      </w:r>
    </w:p>
    <w:p w:rsidR="00A333E1" w:rsidRPr="001136A0" w:rsidRDefault="00A333E1" w:rsidP="00A333E1">
      <w:pPr>
        <w:pStyle w:val="courier11"/>
        <w:widowControl/>
        <w:rPr>
          <w:rFonts w:ascii="Arial" w:hAnsi="Arial"/>
          <w:snapToGrid w:val="0"/>
          <w:szCs w:val="24"/>
        </w:rPr>
      </w:pPr>
      <w:r w:rsidRPr="001136A0">
        <w:rPr>
          <w:rFonts w:ascii="Arial" w:hAnsi="Arial"/>
          <w:snapToGrid w:val="0"/>
          <w:szCs w:val="24"/>
        </w:rPr>
        <w:t xml:space="preserve"> </w:t>
      </w:r>
    </w:p>
    <w:p w:rsidR="00A333E1" w:rsidRDefault="00A333E1" w:rsidP="00A333E1">
      <w:pPr>
        <w:pStyle w:val="courier11"/>
        <w:widowControl/>
        <w:rPr>
          <w:rFonts w:ascii="Arial" w:hAnsi="Arial" w:cs="Arial"/>
          <w:snapToGrid w:val="0"/>
          <w:szCs w:val="24"/>
        </w:rPr>
      </w:pPr>
    </w:p>
    <w:p w:rsidR="00A333E1" w:rsidRDefault="00A333E1" w:rsidP="00A333E1">
      <w:pPr>
        <w:pStyle w:val="courier11"/>
        <w:widowControl/>
        <w:rPr>
          <w:rFonts w:ascii="Arial" w:hAnsi="Arial" w:cs="Arial"/>
          <w:snapToGrid w:val="0"/>
          <w:szCs w:val="24"/>
        </w:rPr>
      </w:pPr>
    </w:p>
    <w:p w:rsidR="00A333E1" w:rsidRPr="00A333E1" w:rsidRDefault="00A333E1" w:rsidP="00A333E1">
      <w:pPr>
        <w:tabs>
          <w:tab w:val="left" w:pos="972"/>
        </w:tabs>
      </w:pPr>
    </w:p>
    <w:sectPr w:rsidR="00A333E1" w:rsidRPr="00A333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2D" w:rsidRDefault="000A3A2D" w:rsidP="00CC0221">
      <w:r>
        <w:separator/>
      </w:r>
    </w:p>
  </w:endnote>
  <w:endnote w:type="continuationSeparator" w:id="0">
    <w:p w:rsidR="000A3A2D" w:rsidRDefault="000A3A2D" w:rsidP="00CC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54791"/>
      <w:docPartObj>
        <w:docPartGallery w:val="Page Numbers (Bottom of Page)"/>
        <w:docPartUnique/>
      </w:docPartObj>
    </w:sdtPr>
    <w:sdtEndPr/>
    <w:sdtContent>
      <w:p w:rsidR="00CC0221" w:rsidRDefault="00CC02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675">
          <w:rPr>
            <w:noProof/>
          </w:rPr>
          <w:t>1</w:t>
        </w:r>
        <w:r>
          <w:fldChar w:fldCharType="end"/>
        </w:r>
      </w:p>
    </w:sdtContent>
  </w:sdt>
  <w:p w:rsidR="00CC0221" w:rsidRDefault="00CC022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2D" w:rsidRDefault="000A3A2D" w:rsidP="00CC0221">
      <w:r>
        <w:separator/>
      </w:r>
    </w:p>
  </w:footnote>
  <w:footnote w:type="continuationSeparator" w:id="0">
    <w:p w:rsidR="000A3A2D" w:rsidRDefault="000A3A2D" w:rsidP="00CC0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221" w:rsidRDefault="00CC0221" w:rsidP="00CC0221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05B17"/>
    <w:multiLevelType w:val="hybridMultilevel"/>
    <w:tmpl w:val="E9DC2474"/>
    <w:lvl w:ilvl="0" w:tplc="7D0E2684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B7F19"/>
    <w:multiLevelType w:val="hybridMultilevel"/>
    <w:tmpl w:val="6548F4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F87F55"/>
    <w:multiLevelType w:val="hybridMultilevel"/>
    <w:tmpl w:val="3102683A"/>
    <w:lvl w:ilvl="0" w:tplc="E18A2238">
      <w:start w:val="1"/>
      <w:numFmt w:val="bullet"/>
      <w:lvlText w:val="-"/>
      <w:lvlJc w:val="left"/>
      <w:pPr>
        <w:ind w:left="1008" w:hanging="360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B0"/>
    <w:rsid w:val="000A3A2D"/>
    <w:rsid w:val="00304675"/>
    <w:rsid w:val="00524397"/>
    <w:rsid w:val="008F0921"/>
    <w:rsid w:val="00A333E1"/>
    <w:rsid w:val="00B618AA"/>
    <w:rsid w:val="00BA0082"/>
    <w:rsid w:val="00C809B0"/>
    <w:rsid w:val="00CC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757A4-2C1B-40A9-B102-8D2E0C59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092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8F0921"/>
    <w:rPr>
      <w:i/>
      <w:iCs/>
    </w:rPr>
  </w:style>
  <w:style w:type="paragraph" w:styleId="Hlavika">
    <w:name w:val="header"/>
    <w:basedOn w:val="Normlny"/>
    <w:link w:val="HlavikaChar"/>
    <w:unhideWhenUsed/>
    <w:rsid w:val="00A333E1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Arial" w:eastAsia="Times New Roman" w:hAnsi="Arial"/>
      <w:sz w:val="22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A333E1"/>
    <w:rPr>
      <w:rFonts w:ascii="Arial" w:eastAsia="Times New Roman" w:hAnsi="Arial" w:cs="Times New Roman"/>
      <w:szCs w:val="20"/>
      <w:lang w:eastAsia="sk-SK"/>
    </w:rPr>
  </w:style>
  <w:style w:type="paragraph" w:styleId="Obyajntext">
    <w:name w:val="Plain Text"/>
    <w:basedOn w:val="Normlny"/>
    <w:link w:val="ObyajntextChar"/>
    <w:rsid w:val="00A333E1"/>
    <w:rPr>
      <w:rFonts w:ascii="Courier New" w:eastAsia="Times New Roman" w:hAnsi="Courier New"/>
      <w:sz w:val="20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A333E1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rsid w:val="00A333E1"/>
    <w:pPr>
      <w:ind w:left="426"/>
      <w:jc w:val="both"/>
    </w:pPr>
    <w:rPr>
      <w:rFonts w:eastAsia="Times New Roman"/>
      <w:szCs w:val="2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333E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ourier11">
    <w:name w:val="courier11"/>
    <w:basedOn w:val="Normlny"/>
    <w:rsid w:val="00A333E1"/>
    <w:pPr>
      <w:widowControl w:val="0"/>
      <w:jc w:val="both"/>
    </w:pPr>
    <w:rPr>
      <w:rFonts w:ascii="Courier New" w:eastAsia="Times New Roman" w:hAnsi="Courier New"/>
      <w:sz w:val="22"/>
      <w:szCs w:val="20"/>
      <w:lang w:eastAsia="cs-CZ"/>
    </w:rPr>
  </w:style>
  <w:style w:type="paragraph" w:customStyle="1" w:styleId="BodyTextIndent21">
    <w:name w:val="Body Text Indent 21"/>
    <w:basedOn w:val="Normlny"/>
    <w:rsid w:val="00A333E1"/>
    <w:pPr>
      <w:ind w:left="708"/>
      <w:jc w:val="both"/>
    </w:pPr>
    <w:rPr>
      <w:rFonts w:ascii="Arial" w:eastAsia="Times New Roman" w:hAnsi="Arial"/>
      <w:noProof/>
      <w:sz w:val="22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A333E1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CC02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0221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Kozár</dc:creator>
  <cp:keywords/>
  <dc:description/>
  <cp:lastModifiedBy>EUFCSK-04-PC</cp:lastModifiedBy>
  <cp:revision>2</cp:revision>
  <dcterms:created xsi:type="dcterms:W3CDTF">2019-03-08T16:40:00Z</dcterms:created>
  <dcterms:modified xsi:type="dcterms:W3CDTF">2019-03-08T16:40:00Z</dcterms:modified>
</cp:coreProperties>
</file>